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081B" w14:textId="3967ABB4" w:rsidR="00012C46" w:rsidRDefault="00012C46" w:rsidP="00012C46">
      <w:r>
        <w:rPr>
          <w:rFonts w:hint="eastAsia"/>
          <w:noProof/>
        </w:rPr>
        <w:drawing>
          <wp:anchor distT="0" distB="0" distL="114300" distR="114300" simplePos="0" relativeHeight="251659264" behindDoc="0" locked="0" layoutInCell="1" allowOverlap="1" wp14:anchorId="76CF5115" wp14:editId="6B125584">
            <wp:simplePos x="0" y="0"/>
            <wp:positionH relativeFrom="column">
              <wp:posOffset>457200</wp:posOffset>
            </wp:positionH>
            <wp:positionV relativeFrom="paragraph">
              <wp:posOffset>-457200</wp:posOffset>
            </wp:positionV>
            <wp:extent cx="4273550" cy="6858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35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0C7A8" w14:textId="77777777" w:rsidR="00012C46" w:rsidRDefault="00012C46" w:rsidP="00D06108">
      <w:pPr>
        <w:pStyle w:val="a3"/>
        <w:snapToGrid w:val="0"/>
        <w:spacing w:before="100" w:beforeAutospacing="1" w:afterLines="100" w:after="360" w:line="460" w:lineRule="exact"/>
        <w:jc w:val="center"/>
        <w:rPr>
          <w:rFonts w:ascii="Arial" w:eastAsia="華康粗黑體(P)" w:hAnsi="Arial" w:cs="Arial"/>
          <w:w w:val="90"/>
          <w:sz w:val="44"/>
        </w:rPr>
      </w:pPr>
      <w:r>
        <w:rPr>
          <w:rFonts w:ascii="Arial" w:eastAsia="華康粗黑體(P)" w:hAnsi="Arial" w:cs="Arial" w:hint="eastAsia"/>
          <w:w w:val="90"/>
          <w:sz w:val="44"/>
        </w:rPr>
        <w:t>新</w:t>
      </w:r>
      <w:r>
        <w:rPr>
          <w:rFonts w:ascii="Arial" w:eastAsia="華康粗黑體(P)" w:hAnsi="Arial" w:cs="Arial" w:hint="eastAsia"/>
          <w:w w:val="90"/>
          <w:sz w:val="44"/>
        </w:rPr>
        <w:t xml:space="preserve">  </w:t>
      </w:r>
      <w:r>
        <w:rPr>
          <w:rFonts w:ascii="Arial" w:eastAsia="華康粗黑體(P)" w:hAnsi="Arial" w:cs="Arial" w:hint="eastAsia"/>
          <w:w w:val="90"/>
          <w:sz w:val="44"/>
        </w:rPr>
        <w:t>聞</w:t>
      </w:r>
      <w:r>
        <w:rPr>
          <w:rFonts w:ascii="Arial" w:eastAsia="華康粗黑體(P)" w:hAnsi="Arial" w:cs="Arial" w:hint="eastAsia"/>
          <w:w w:val="90"/>
          <w:sz w:val="44"/>
        </w:rPr>
        <w:t xml:space="preserve">  </w:t>
      </w:r>
      <w:r>
        <w:rPr>
          <w:rFonts w:ascii="Arial" w:eastAsia="華康粗黑體(P)" w:hAnsi="Arial" w:cs="Arial" w:hint="eastAsia"/>
          <w:w w:val="90"/>
          <w:sz w:val="44"/>
        </w:rPr>
        <w:t>稿</w:t>
      </w:r>
    </w:p>
    <w:tbl>
      <w:tblPr>
        <w:tblW w:w="8668" w:type="dxa"/>
        <w:tblCellMar>
          <w:left w:w="28" w:type="dxa"/>
          <w:right w:w="28" w:type="dxa"/>
        </w:tblCellMar>
        <w:tblLook w:val="0000" w:firstRow="0" w:lastRow="0" w:firstColumn="0" w:lastColumn="0" w:noHBand="0" w:noVBand="0"/>
      </w:tblPr>
      <w:tblGrid>
        <w:gridCol w:w="4168"/>
        <w:gridCol w:w="4500"/>
      </w:tblGrid>
      <w:tr w:rsidR="00012C46" w:rsidRPr="00BA474F" w14:paraId="2196AFB4" w14:textId="77777777" w:rsidTr="001A51AE">
        <w:tc>
          <w:tcPr>
            <w:tcW w:w="4168" w:type="dxa"/>
          </w:tcPr>
          <w:p w14:paraId="3A827AF5" w14:textId="77777777" w:rsidR="00012C46" w:rsidRPr="00BA474F" w:rsidRDefault="00012C46" w:rsidP="001A51AE">
            <w:pPr>
              <w:pStyle w:val="a3"/>
              <w:snapToGrid w:val="0"/>
              <w:spacing w:before="100" w:beforeAutospacing="1" w:line="400" w:lineRule="exact"/>
              <w:jc w:val="both"/>
              <w:rPr>
                <w:rFonts w:ascii="Arial" w:eastAsia="標楷體" w:hAnsi="Arial" w:cs="Arial"/>
              </w:rPr>
            </w:pPr>
          </w:p>
        </w:tc>
        <w:tc>
          <w:tcPr>
            <w:tcW w:w="4500" w:type="dxa"/>
          </w:tcPr>
          <w:p w14:paraId="3AB3DF9F" w14:textId="607980F7"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發佈日期：</w:t>
            </w:r>
            <w:r w:rsidRPr="00BA474F">
              <w:rPr>
                <w:rFonts w:ascii="Arial" w:eastAsia="華康細圓體" w:hAnsi="Arial" w:cs="Arial"/>
              </w:rPr>
              <w:t>1</w:t>
            </w:r>
            <w:r w:rsidR="006562E8">
              <w:rPr>
                <w:rFonts w:ascii="Arial" w:eastAsia="華康細圓體" w:hAnsi="Arial" w:cs="Arial" w:hint="eastAsia"/>
              </w:rPr>
              <w:t>1</w:t>
            </w:r>
            <w:r w:rsidR="000079C8">
              <w:rPr>
                <w:rFonts w:ascii="Arial" w:eastAsia="華康細圓體" w:hAnsi="Arial" w:cs="Arial" w:hint="eastAsia"/>
              </w:rPr>
              <w:t>2</w:t>
            </w:r>
            <w:r w:rsidRPr="00BA474F">
              <w:rPr>
                <w:rFonts w:ascii="Arial" w:eastAsia="華康細圓體" w:hAnsi="Arial" w:cs="Arial"/>
              </w:rPr>
              <w:t>年</w:t>
            </w:r>
            <w:r w:rsidR="001D2D46">
              <w:rPr>
                <w:rFonts w:ascii="Arial" w:eastAsia="華康細圓體" w:hAnsi="Arial" w:cs="Arial" w:hint="eastAsia"/>
              </w:rPr>
              <w:t>10</w:t>
            </w:r>
            <w:r w:rsidRPr="00BA474F">
              <w:rPr>
                <w:rFonts w:ascii="Arial" w:eastAsia="華康細圓體" w:hAnsi="Arial" w:cs="Arial"/>
              </w:rPr>
              <w:t xml:space="preserve"> </w:t>
            </w:r>
            <w:r w:rsidRPr="00BA474F">
              <w:rPr>
                <w:rFonts w:ascii="Arial" w:eastAsia="華康細圓體" w:hAnsi="Arial" w:cs="Arial"/>
              </w:rPr>
              <w:t>月</w:t>
            </w:r>
            <w:r w:rsidR="006D782F">
              <w:rPr>
                <w:rFonts w:ascii="Arial" w:eastAsia="華康細圓體" w:hAnsi="Arial" w:cs="Arial" w:hint="eastAsia"/>
              </w:rPr>
              <w:t>0</w:t>
            </w:r>
            <w:r w:rsidR="001D2D46">
              <w:rPr>
                <w:rFonts w:ascii="Arial" w:eastAsia="華康細圓體" w:hAnsi="Arial" w:cs="Arial" w:hint="eastAsia"/>
              </w:rPr>
              <w:t>3</w:t>
            </w:r>
          </w:p>
        </w:tc>
      </w:tr>
      <w:tr w:rsidR="00012C46" w:rsidRPr="00BA474F" w14:paraId="57713C2C" w14:textId="77777777" w:rsidTr="001A51AE">
        <w:tc>
          <w:tcPr>
            <w:tcW w:w="4168" w:type="dxa"/>
          </w:tcPr>
          <w:p w14:paraId="2CDF572C" w14:textId="77777777" w:rsidR="00012C46" w:rsidRPr="00BA474F" w:rsidRDefault="00012C46" w:rsidP="001A51AE">
            <w:pPr>
              <w:pStyle w:val="a3"/>
              <w:snapToGrid w:val="0"/>
              <w:spacing w:before="100" w:beforeAutospacing="1" w:line="400" w:lineRule="exact"/>
              <w:jc w:val="both"/>
              <w:rPr>
                <w:rFonts w:ascii="Arial" w:eastAsia="標楷體" w:hAnsi="Arial" w:cs="Arial"/>
              </w:rPr>
            </w:pPr>
          </w:p>
        </w:tc>
        <w:tc>
          <w:tcPr>
            <w:tcW w:w="4500" w:type="dxa"/>
          </w:tcPr>
          <w:p w14:paraId="0F1FF11A" w14:textId="77777777"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聯絡人：推廣組</w:t>
            </w:r>
            <w:r w:rsidRPr="00BA474F">
              <w:rPr>
                <w:rFonts w:ascii="Arial" w:eastAsia="華康細圓體" w:hAnsi="Arial" w:cs="Arial"/>
              </w:rPr>
              <w:t xml:space="preserve"> </w:t>
            </w:r>
            <w:r w:rsidRPr="00BA474F">
              <w:rPr>
                <w:rFonts w:ascii="Arial" w:eastAsia="華康細圓體" w:hAnsi="Arial" w:cs="Arial"/>
              </w:rPr>
              <w:t>電話</w:t>
            </w:r>
            <w:r w:rsidRPr="00BA474F">
              <w:rPr>
                <w:rFonts w:ascii="Arial" w:eastAsia="華康細圓體" w:hAnsi="Arial" w:cs="Arial"/>
              </w:rPr>
              <w:t>02-2581 7288</w:t>
            </w:r>
          </w:p>
        </w:tc>
      </w:tr>
      <w:tr w:rsidR="00012C46" w:rsidRPr="00B23A26" w14:paraId="1610656F" w14:textId="77777777" w:rsidTr="001A51AE">
        <w:tc>
          <w:tcPr>
            <w:tcW w:w="4168" w:type="dxa"/>
          </w:tcPr>
          <w:p w14:paraId="2E1E59FF" w14:textId="00FA6F93" w:rsidR="00012C46" w:rsidRPr="00B23A26" w:rsidRDefault="00012C46" w:rsidP="001A51AE">
            <w:pPr>
              <w:pStyle w:val="a3"/>
              <w:snapToGrid w:val="0"/>
              <w:spacing w:before="100" w:beforeAutospacing="1" w:line="400" w:lineRule="exact"/>
              <w:jc w:val="both"/>
              <w:rPr>
                <w:rFonts w:ascii="Arial" w:eastAsia="標楷體" w:hAnsi="Arial" w:cs="Arial"/>
              </w:rPr>
            </w:pPr>
            <w:r w:rsidRPr="00B23A26">
              <w:rPr>
                <w:rFonts w:ascii="Arial" w:eastAsia="華康細圓體" w:hAnsi="Arial" w:cs="Arial"/>
              </w:rPr>
              <w:t>共</w:t>
            </w:r>
            <w:r w:rsidRPr="00B23A26">
              <w:rPr>
                <w:rFonts w:ascii="Arial" w:eastAsia="華康細圓體" w:hAnsi="Arial" w:cs="Arial"/>
                <w:u w:val="single"/>
              </w:rPr>
              <w:t xml:space="preserve"> </w:t>
            </w:r>
            <w:r w:rsidR="006562E8" w:rsidRPr="00B23A26">
              <w:rPr>
                <w:rFonts w:ascii="Arial" w:eastAsia="華康細圓體" w:hAnsi="Arial" w:cs="Arial" w:hint="eastAsia"/>
                <w:u w:val="single"/>
              </w:rPr>
              <w:t>2</w:t>
            </w:r>
            <w:r w:rsidRPr="00B23A26">
              <w:rPr>
                <w:rFonts w:ascii="Arial" w:eastAsia="華康細圓體" w:hAnsi="Arial" w:cs="Arial"/>
                <w:u w:val="single"/>
              </w:rPr>
              <w:t xml:space="preserve"> </w:t>
            </w:r>
            <w:r w:rsidRPr="00B23A26">
              <w:rPr>
                <w:rFonts w:ascii="Arial" w:eastAsia="華康細圓體" w:hAnsi="Arial" w:cs="Arial"/>
              </w:rPr>
              <w:t>頁</w:t>
            </w:r>
          </w:p>
        </w:tc>
        <w:tc>
          <w:tcPr>
            <w:tcW w:w="4500" w:type="dxa"/>
          </w:tcPr>
          <w:p w14:paraId="5D6F68B2" w14:textId="77777777" w:rsidR="00012C46" w:rsidRPr="00B23A26" w:rsidRDefault="00012C46" w:rsidP="001A51AE">
            <w:pPr>
              <w:pStyle w:val="a3"/>
              <w:snapToGrid w:val="0"/>
              <w:spacing w:before="100" w:beforeAutospacing="1" w:line="400" w:lineRule="exact"/>
              <w:jc w:val="both"/>
              <w:rPr>
                <w:rFonts w:ascii="Arial" w:eastAsia="標楷體" w:hAnsi="Arial" w:cs="Arial"/>
              </w:rPr>
            </w:pPr>
            <w:r w:rsidRPr="00B23A26">
              <w:rPr>
                <w:rFonts w:ascii="Arial" w:eastAsia="華康細圓體" w:hAnsi="Arial" w:cs="Arial"/>
              </w:rPr>
              <w:t xml:space="preserve">        </w:t>
            </w:r>
            <w:r w:rsidRPr="00B23A26">
              <w:rPr>
                <w:rFonts w:ascii="Arial" w:eastAsia="華康細圓體" w:hAnsi="Arial" w:cs="Arial"/>
              </w:rPr>
              <w:t>呂秀蘭</w:t>
            </w:r>
            <w:r w:rsidRPr="00B23A26">
              <w:rPr>
                <w:rFonts w:ascii="Arial" w:eastAsia="華康細圓體" w:hAnsi="Arial" w:cs="Arial"/>
              </w:rPr>
              <w:t xml:space="preserve"> </w:t>
            </w:r>
            <w:r w:rsidRPr="00B23A26">
              <w:rPr>
                <w:rFonts w:ascii="Arial" w:eastAsia="華康細圓體" w:hAnsi="Arial" w:cs="Arial"/>
              </w:rPr>
              <w:t xml:space="preserve">分機　</w:t>
            </w:r>
            <w:r w:rsidRPr="00B23A26">
              <w:rPr>
                <w:rFonts w:ascii="Arial" w:eastAsia="華康細圓體" w:hAnsi="Arial" w:cs="Arial"/>
              </w:rPr>
              <w:t>501</w:t>
            </w:r>
          </w:p>
        </w:tc>
      </w:tr>
    </w:tbl>
    <w:p w14:paraId="0E1014F7" w14:textId="77777777" w:rsidR="00012C46" w:rsidRPr="00B23A26" w:rsidRDefault="00012C46" w:rsidP="00012C46">
      <w:pPr>
        <w:spacing w:line="440" w:lineRule="exact"/>
        <w:jc w:val="both"/>
        <w:rPr>
          <w:rFonts w:ascii="Arial" w:eastAsia="華康中黑體" w:hAnsi="Arial" w:cs="Arial"/>
          <w:sz w:val="28"/>
          <w:szCs w:val="28"/>
        </w:rPr>
      </w:pPr>
    </w:p>
    <w:p w14:paraId="337895A4" w14:textId="27361D50" w:rsidR="005C52B7" w:rsidRPr="00B23A26" w:rsidRDefault="00B23A26" w:rsidP="00CE4AF9">
      <w:pPr>
        <w:spacing w:afterLines="50" w:after="180" w:line="400" w:lineRule="exact"/>
        <w:ind w:firstLineChars="200" w:firstLine="560"/>
        <w:jc w:val="center"/>
        <w:rPr>
          <w:rFonts w:ascii="微軟正黑體" w:eastAsia="微軟正黑體" w:hAnsi="微軟正黑體"/>
          <w:b/>
          <w:sz w:val="28"/>
          <w:szCs w:val="28"/>
        </w:rPr>
      </w:pPr>
      <w:r w:rsidRPr="00B23A26">
        <w:rPr>
          <w:rFonts w:ascii="微軟正黑體" w:eastAsia="微軟正黑體" w:hAnsi="微軟正黑體" w:hint="eastAsia"/>
          <w:b/>
          <w:sz w:val="28"/>
          <w:szCs w:val="28"/>
        </w:rPr>
        <w:t>2023年國際資產管理論壇</w:t>
      </w:r>
      <w:r w:rsidR="001D2D46">
        <w:rPr>
          <w:rFonts w:ascii="微軟正黑體" w:eastAsia="微軟正黑體" w:hAnsi="微軟正黑體" w:hint="eastAsia"/>
          <w:b/>
          <w:sz w:val="28"/>
          <w:szCs w:val="28"/>
        </w:rPr>
        <w:t>II</w:t>
      </w:r>
      <w:r w:rsidR="008C306E">
        <w:rPr>
          <w:rFonts w:ascii="微軟正黑體" w:eastAsia="微軟正黑體" w:hAnsi="微軟正黑體" w:hint="eastAsia"/>
          <w:b/>
          <w:sz w:val="28"/>
          <w:szCs w:val="28"/>
        </w:rPr>
        <w:t xml:space="preserve"> 圓滿落幕</w:t>
      </w:r>
    </w:p>
    <w:p w14:paraId="2C919051" w14:textId="48FE3745" w:rsidR="00AE7066" w:rsidRPr="00122C8A" w:rsidRDefault="00AE7066" w:rsidP="00AE7066">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為響應國際證券管理機構組織(IOSCO) 所倡議的「世界投資者週」，提升金融從業人員專業素養，以及加強投資人教育及保護意識，本公會與社團法人臺灣理財顧問認證協會、中華民國退休基金協會、台灣金融研訓院、台灣金融分析專業人員協會、台灣不動產投資協會、臺灣證券交易所、臺灣集中保管結算所、臺灣期貨交易所、中華民國證券櫃檯買賣中心共同主辦，於10月2日至6日假台灣金融研訓院舉辦「2023世界投資者週聯合論壇」，以「韌性x數位x永續  共創投資與財管新未來」為主軸，邀請國內外專家學者分享財富管理市場發展現況及展望、產業人才培育、投資人韌性的強化與教育</w:t>
      </w:r>
      <w:r w:rsidR="00F52E87" w:rsidRPr="00122C8A">
        <w:rPr>
          <w:rFonts w:ascii="微軟正黑體" w:eastAsia="微軟正黑體" w:hAnsi="微軟正黑體" w:hint="eastAsia"/>
        </w:rPr>
        <w:t>、</w:t>
      </w:r>
      <w:r w:rsidRPr="00122C8A">
        <w:rPr>
          <w:rFonts w:ascii="微軟正黑體" w:eastAsia="微軟正黑體" w:hAnsi="微軟正黑體" w:hint="eastAsia"/>
        </w:rPr>
        <w:t>全球永續</w:t>
      </w:r>
      <w:r w:rsidR="00F52E87" w:rsidRPr="00122C8A">
        <w:rPr>
          <w:rFonts w:ascii="微軟正黑體" w:eastAsia="微軟正黑體" w:hAnsi="微軟正黑體" w:hint="eastAsia"/>
        </w:rPr>
        <w:t>、</w:t>
      </w:r>
      <w:r w:rsidRPr="00122C8A">
        <w:rPr>
          <w:rFonts w:ascii="微軟正黑體" w:eastAsia="微軟正黑體" w:hAnsi="微軟正黑體" w:hint="eastAsia"/>
        </w:rPr>
        <w:t>淨零與碳權交易機制等重要議題。</w:t>
      </w:r>
    </w:p>
    <w:p w14:paraId="0A25AB7D" w14:textId="14A37B4A" w:rsidR="00AE7066" w:rsidRPr="00122C8A" w:rsidRDefault="00AE7066" w:rsidP="00AE7066">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10月3日下午場次為本公會「2023年國際資產管理論壇II」，邀請到安永聯合會計師事務所曾于哲會計師分享「國際氣候變遷之發展趨勢與風險管理–ISSB全球永續揭露準則」議題，以及景順資產管理公司歐非中東地區 ETF產品和銷售策略主管Matthew Tagliani先生、彭博研究亞太區ETF研究主管暨資深分析師Rebecca Sin女士分享「國際基金產業發展趨勢 – ETF之商品創新、未來發展與監理趨勢」，期望透過國內外相關專家進行深入的剖析與分享，協助國內資產管理業者掌握永續發展關鍵資訊以及資產管理業未來趨勢，吸引到</w:t>
      </w:r>
      <w:r w:rsidR="006C70A3">
        <w:rPr>
          <w:rFonts w:ascii="微軟正黑體" w:eastAsia="微軟正黑體" w:hAnsi="微軟正黑體" w:hint="eastAsia"/>
        </w:rPr>
        <w:t>近</w:t>
      </w:r>
      <w:r w:rsidR="00F52E87" w:rsidRPr="00122C8A">
        <w:rPr>
          <w:rFonts w:ascii="微軟正黑體" w:eastAsia="微軟正黑體" w:hAnsi="微軟正黑體" w:hint="eastAsia"/>
        </w:rPr>
        <w:t>200位來自</w:t>
      </w:r>
      <w:r w:rsidRPr="00122C8A">
        <w:rPr>
          <w:rFonts w:ascii="微軟正黑體" w:eastAsia="微軟正黑體" w:hAnsi="微軟正黑體" w:hint="eastAsia"/>
        </w:rPr>
        <w:t>投信投顧業</w:t>
      </w:r>
      <w:r w:rsidR="00F52E87" w:rsidRPr="00122C8A">
        <w:rPr>
          <w:rFonts w:ascii="微軟正黑體" w:eastAsia="微軟正黑體" w:hAnsi="微軟正黑體" w:hint="eastAsia"/>
        </w:rPr>
        <w:t>及各界的</w:t>
      </w:r>
      <w:r w:rsidRPr="00122C8A">
        <w:rPr>
          <w:rFonts w:ascii="微軟正黑體" w:eastAsia="微軟正黑體" w:hAnsi="微軟正黑體" w:hint="eastAsia"/>
        </w:rPr>
        <w:t>嘉賓</w:t>
      </w:r>
      <w:r w:rsidR="00F52E87" w:rsidRPr="00122C8A">
        <w:rPr>
          <w:rFonts w:ascii="微軟正黑體" w:eastAsia="微軟正黑體" w:hAnsi="微軟正黑體" w:hint="eastAsia"/>
        </w:rPr>
        <w:t>熱情</w:t>
      </w:r>
      <w:r w:rsidRPr="00122C8A">
        <w:rPr>
          <w:rFonts w:ascii="微軟正黑體" w:eastAsia="微軟正黑體" w:hAnsi="微軟正黑體" w:hint="eastAsia"/>
        </w:rPr>
        <w:t>與會</w:t>
      </w:r>
      <w:r w:rsidR="00B7272D" w:rsidRPr="00122C8A">
        <w:rPr>
          <w:rFonts w:ascii="微軟正黑體" w:eastAsia="微軟正黑體" w:hAnsi="微軟正黑體" w:hint="eastAsia"/>
        </w:rPr>
        <w:t>，及線上超過600位觀眾同步參與論壇</w:t>
      </w:r>
      <w:r w:rsidRPr="00122C8A">
        <w:rPr>
          <w:rFonts w:ascii="微軟正黑體" w:eastAsia="微軟正黑體" w:hAnsi="微軟正黑體" w:hint="eastAsia"/>
        </w:rPr>
        <w:t>。</w:t>
      </w:r>
    </w:p>
    <w:p w14:paraId="7B75527F" w14:textId="77777777" w:rsidR="00AE7066" w:rsidRPr="00122C8A" w:rsidRDefault="00AE7066" w:rsidP="00AE7066">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論壇活動在投信投顧公會劉宗聖理事長的致詞中拉開序幕，劉理事長表示永續發展是資產管理產業的重要議題，今年6月時，國際財務報導準則基金會(IFRS Foundation)轄下之國際永續準則理事會(ISSB)，發布了永續揭露準則第S1號「永續相關財務資訊揭露之一般規定」及第S2號「氣候相關揭露」，提供投資者具一致性且可比較的永續發展揭露項目，台灣上市櫃公司未來也將逐步適用，因此，資產管理業者應充分瞭解及掌握IFRS永續揭露準則所帶來的影響，另一方面，近年來台灣ETF規模及參與人數皆成長快速，商品也愈來愈多樣化，然而，</w:t>
      </w:r>
      <w:r w:rsidRPr="00122C8A">
        <w:rPr>
          <w:rFonts w:ascii="微軟正黑體" w:eastAsia="微軟正黑體" w:hAnsi="微軟正黑體" w:hint="eastAsia"/>
        </w:rPr>
        <w:lastRenderedPageBreak/>
        <w:t>如何保護投資人權益，促進公平和效率的市場，兼重商品多元化及投資人保護，將是資產管理業者對於</w:t>
      </w:r>
      <w:proofErr w:type="spellStart"/>
      <w:r w:rsidRPr="00122C8A">
        <w:rPr>
          <w:rFonts w:ascii="微軟正黑體" w:eastAsia="微軟正黑體" w:hAnsi="微軟正黑體" w:hint="eastAsia"/>
        </w:rPr>
        <w:t>ETF</w:t>
      </w:r>
      <w:proofErr w:type="spellEnd"/>
      <w:r w:rsidRPr="00122C8A">
        <w:rPr>
          <w:rFonts w:ascii="微軟正黑體" w:eastAsia="微軟正黑體" w:hAnsi="微軟正黑體" w:hint="eastAsia"/>
        </w:rPr>
        <w:t>管理的重要方向。</w:t>
      </w:r>
    </w:p>
    <w:p w14:paraId="705233D6" w14:textId="5FAF2A5F" w:rsidR="00AE7066" w:rsidRPr="00122C8A" w:rsidRDefault="00AE7066" w:rsidP="00AE7066">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安永聯合會計師事務所曾于哲會計師於論壇中提到ISSB永續揭露標準可以協助金融專業人員辨識出交易對手永續相關風險可能的影響(ESG risks)，以及評估潛在的永續相關商機 (SDGs)，協助資產管理業者將ESG量化因子納入投資分析決策流程中；因此，金融機構除了針對ISSB永續揭露標準進行準備之外，更應思考</w:t>
      </w:r>
      <w:r w:rsidR="00424D05" w:rsidRPr="00122C8A">
        <w:rPr>
          <w:rFonts w:ascii="微軟正黑體" w:eastAsia="微軟正黑體" w:hAnsi="微軟正黑體" w:hint="eastAsia"/>
        </w:rPr>
        <w:t>在</w:t>
      </w:r>
      <w:r w:rsidRPr="00122C8A">
        <w:rPr>
          <w:rFonts w:ascii="微軟正黑體" w:eastAsia="微軟正黑體" w:hAnsi="微軟正黑體" w:hint="eastAsia"/>
        </w:rPr>
        <w:t>將ESG因子納入投融資決策流程</w:t>
      </w:r>
      <w:r w:rsidR="00424D05" w:rsidRPr="00122C8A">
        <w:rPr>
          <w:rFonts w:ascii="微軟正黑體" w:eastAsia="微軟正黑體" w:hAnsi="微軟正黑體" w:hint="eastAsia"/>
        </w:rPr>
        <w:t>時，相關組織及策略如何同步</w:t>
      </w:r>
      <w:r w:rsidRPr="00122C8A">
        <w:rPr>
          <w:rFonts w:ascii="微軟正黑體" w:eastAsia="微軟正黑體" w:hAnsi="微軟正黑體" w:hint="eastAsia"/>
        </w:rPr>
        <w:t>調整</w:t>
      </w:r>
      <w:r w:rsidR="00424D05" w:rsidRPr="00122C8A">
        <w:rPr>
          <w:rFonts w:ascii="微軟正黑體" w:eastAsia="微軟正黑體" w:hAnsi="微軟正黑體" w:hint="eastAsia"/>
        </w:rPr>
        <w:t>並落到</w:t>
      </w:r>
      <w:r w:rsidR="00D27AD9" w:rsidRPr="00122C8A">
        <w:rPr>
          <w:rFonts w:ascii="微軟正黑體" w:eastAsia="微軟正黑體" w:hAnsi="微軟正黑體" w:hint="eastAsia"/>
        </w:rPr>
        <w:t>日常的</w:t>
      </w:r>
      <w:r w:rsidR="00424D05" w:rsidRPr="00122C8A">
        <w:rPr>
          <w:rFonts w:ascii="微軟正黑體" w:eastAsia="微軟正黑體" w:hAnsi="微軟正黑體" w:hint="eastAsia"/>
        </w:rPr>
        <w:t>管理流程</w:t>
      </w:r>
      <w:r w:rsidRPr="00122C8A">
        <w:rPr>
          <w:rFonts w:ascii="微軟正黑體" w:eastAsia="微軟正黑體" w:hAnsi="微軟正黑體" w:hint="eastAsia"/>
        </w:rPr>
        <w:t>中</w:t>
      </w:r>
      <w:r w:rsidR="00680BC0" w:rsidRPr="00122C8A">
        <w:rPr>
          <w:rFonts w:ascii="微軟正黑體" w:eastAsia="微軟正黑體" w:hAnsi="微軟正黑體" w:hint="eastAsia"/>
        </w:rPr>
        <w:t>；</w:t>
      </w:r>
      <w:r w:rsidR="00D27AD9" w:rsidRPr="00122C8A">
        <w:rPr>
          <w:rFonts w:ascii="微軟正黑體" w:eastAsia="微軟正黑體" w:hAnsi="微軟正黑體" w:hint="eastAsia"/>
        </w:rPr>
        <w:t>如何</w:t>
      </w:r>
      <w:r w:rsidRPr="00122C8A">
        <w:rPr>
          <w:rFonts w:ascii="微軟正黑體" w:eastAsia="微軟正黑體" w:hAnsi="微軟正黑體" w:hint="eastAsia"/>
        </w:rPr>
        <w:t>培養從業人員對永續議題的思辨能力(SDGs)、永續相關風險的識讀能力(ESG)以及對永續相關商機的識讀能力(ESG+SDGs)。</w:t>
      </w:r>
    </w:p>
    <w:p w14:paraId="13AFA2A2" w14:textId="0608B8CE" w:rsidR="00AE7066" w:rsidRPr="00122C8A" w:rsidRDefault="00AE7066" w:rsidP="00D27AD9">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景順</w:t>
      </w:r>
      <w:r w:rsidRPr="00122C8A">
        <w:rPr>
          <w:rFonts w:ascii="微軟正黑體" w:eastAsia="微軟正黑體" w:hAnsi="微軟正黑體"/>
        </w:rPr>
        <w:t xml:space="preserve"> Matthew Tagliani</w:t>
      </w:r>
      <w:r w:rsidRPr="00122C8A">
        <w:rPr>
          <w:rFonts w:ascii="微軟正黑體" w:eastAsia="微軟正黑體" w:hAnsi="微軟正黑體" w:hint="eastAsia"/>
        </w:rPr>
        <w:t>先生在演講中指出，</w:t>
      </w:r>
      <w:r w:rsidRPr="00122C8A">
        <w:rPr>
          <w:rFonts w:ascii="微軟正黑體" w:eastAsia="微軟正黑體" w:hAnsi="微軟正黑體"/>
        </w:rPr>
        <w:t>ETF</w:t>
      </w:r>
      <w:r w:rsidRPr="00122C8A">
        <w:rPr>
          <w:rFonts w:ascii="微軟正黑體" w:eastAsia="微軟正黑體" w:hAnsi="微軟正黑體" w:hint="eastAsia"/>
        </w:rPr>
        <w:t>結構的出現就是產品創新的開始，因應顧客群的投資需求，跨越多個投資領域的創新，帶來豐富的產品</w:t>
      </w:r>
      <w:r w:rsidR="00D27AD9" w:rsidRPr="00122C8A">
        <w:rPr>
          <w:rFonts w:ascii="微軟正黑體" w:eastAsia="微軟正黑體" w:hAnsi="微軟正黑體" w:hint="eastAsia"/>
        </w:rPr>
        <w:t>線</w:t>
      </w:r>
      <w:r w:rsidRPr="00122C8A">
        <w:rPr>
          <w:rFonts w:ascii="微軟正黑體" w:eastAsia="微軟正黑體" w:hAnsi="微軟正黑體" w:hint="eastAsia"/>
        </w:rPr>
        <w:t>，</w:t>
      </w:r>
      <w:r w:rsidR="00680BC0" w:rsidRPr="00122C8A">
        <w:rPr>
          <w:rFonts w:ascii="微軟正黑體" w:eastAsia="微軟正黑體" w:hAnsi="微軟正黑體" w:hint="eastAsia"/>
        </w:rPr>
        <w:t>帶</w:t>
      </w:r>
      <w:r w:rsidRPr="00122C8A">
        <w:rPr>
          <w:rFonts w:ascii="微軟正黑體" w:eastAsia="微軟正黑體" w:hAnsi="微軟正黑體" w:hint="eastAsia"/>
        </w:rPr>
        <w:t>動全球資產業持續增長。</w:t>
      </w:r>
      <w:r w:rsidR="0000676E" w:rsidRPr="00122C8A">
        <w:rPr>
          <w:rFonts w:ascii="微軟正黑體" w:eastAsia="微軟正黑體" w:hAnsi="微軟正黑體" w:hint="eastAsia"/>
        </w:rPr>
        <w:t>T</w:t>
      </w:r>
      <w:r w:rsidR="0000676E" w:rsidRPr="00122C8A">
        <w:rPr>
          <w:rFonts w:ascii="微軟正黑體" w:eastAsia="微軟正黑體" w:hAnsi="微軟正黑體"/>
        </w:rPr>
        <w:t>agliani</w:t>
      </w:r>
      <w:r w:rsidR="0000676E" w:rsidRPr="00122C8A">
        <w:rPr>
          <w:rFonts w:ascii="微軟正黑體" w:eastAsia="微軟正黑體" w:hAnsi="微軟正黑體" w:hint="eastAsia"/>
        </w:rPr>
        <w:t>先生</w:t>
      </w:r>
      <w:r w:rsidRPr="00122C8A">
        <w:rPr>
          <w:rFonts w:ascii="微軟正黑體" w:eastAsia="微軟正黑體" w:hAnsi="微軟正黑體" w:hint="eastAsia"/>
        </w:rPr>
        <w:t>分析了不同領域的</w:t>
      </w:r>
      <w:r w:rsidR="00D27AD9" w:rsidRPr="00122C8A">
        <w:rPr>
          <w:rFonts w:ascii="微軟正黑體" w:eastAsia="微軟正黑體" w:hAnsi="微軟正黑體" w:hint="eastAsia"/>
        </w:rPr>
        <w:t>E</w:t>
      </w:r>
      <w:r w:rsidR="00D27AD9" w:rsidRPr="00122C8A">
        <w:rPr>
          <w:rFonts w:ascii="微軟正黑體" w:eastAsia="微軟正黑體" w:hAnsi="微軟正黑體"/>
        </w:rPr>
        <w:t>TF</w:t>
      </w:r>
      <w:r w:rsidR="00D27AD9" w:rsidRPr="00122C8A">
        <w:rPr>
          <w:rFonts w:ascii="微軟正黑體" w:eastAsia="微軟正黑體" w:hAnsi="微軟正黑體" w:hint="eastAsia"/>
        </w:rPr>
        <w:t>產品</w:t>
      </w:r>
      <w:r w:rsidRPr="00122C8A">
        <w:rPr>
          <w:rFonts w:ascii="微軟正黑體" w:eastAsia="微軟正黑體" w:hAnsi="微軟正黑體" w:hint="eastAsia"/>
        </w:rPr>
        <w:t>創新，包括創新公司的投資，例如：納指和具成長潛力的投資主題指數研發；開發新市場和新資產</w:t>
      </w:r>
      <w:r w:rsidR="00E36D3D" w:rsidRPr="00122C8A">
        <w:rPr>
          <w:rFonts w:ascii="微軟正黑體" w:eastAsia="微軟正黑體" w:hAnsi="微軟正黑體" w:hint="eastAsia"/>
        </w:rPr>
        <w:t>類別，如</w:t>
      </w:r>
      <w:r w:rsidR="00E36D3D" w:rsidRPr="00122C8A">
        <w:rPr>
          <w:rFonts w:ascii="微軟正黑體" w:eastAsia="微軟正黑體" w:hAnsi="微軟正黑體"/>
        </w:rPr>
        <w:t xml:space="preserve"> AT1</w:t>
      </w:r>
      <w:r w:rsidR="00E36D3D" w:rsidRPr="00122C8A">
        <w:rPr>
          <w:rFonts w:ascii="微軟正黑體" w:eastAsia="微軟正黑體" w:hAnsi="微軟正黑體" w:hint="eastAsia"/>
        </w:rPr>
        <w:t>債券、銀行貸款</w:t>
      </w:r>
      <w:r w:rsidR="00E36D3D" w:rsidRPr="00122C8A">
        <w:rPr>
          <w:rFonts w:ascii="微軟正黑體" w:eastAsia="微軟正黑體" w:hAnsi="微軟正黑體"/>
        </w:rPr>
        <w:t>(Bank Loan)</w:t>
      </w:r>
      <w:r w:rsidR="00E36D3D" w:rsidRPr="00122C8A">
        <w:rPr>
          <w:rFonts w:ascii="微軟正黑體" w:eastAsia="微軟正黑體" w:hAnsi="微軟正黑體" w:hint="eastAsia"/>
        </w:rPr>
        <w:t>的</w:t>
      </w:r>
      <w:r w:rsidRPr="00122C8A">
        <w:rPr>
          <w:rFonts w:ascii="微軟正黑體" w:eastAsia="微軟正黑體" w:hAnsi="微軟正黑體" w:hint="eastAsia"/>
        </w:rPr>
        <w:t>投資機會</w:t>
      </w:r>
      <w:r w:rsidR="00E36D3D" w:rsidRPr="00122C8A">
        <w:rPr>
          <w:rFonts w:ascii="微軟正黑體" w:eastAsia="微軟正黑體" w:hAnsi="微軟正黑體" w:hint="eastAsia"/>
        </w:rPr>
        <w:t>；</w:t>
      </w:r>
      <w:r w:rsidRPr="00122C8A">
        <w:rPr>
          <w:rFonts w:ascii="微軟正黑體" w:eastAsia="微軟正黑體" w:hAnsi="微軟正黑體" w:hint="eastAsia"/>
        </w:rPr>
        <w:t>經由</w:t>
      </w:r>
      <w:r w:rsidRPr="00122C8A">
        <w:rPr>
          <w:rFonts w:ascii="微軟正黑體" w:eastAsia="微軟正黑體" w:hAnsi="微軟正黑體"/>
        </w:rPr>
        <w:t xml:space="preserve">smart beta </w:t>
      </w:r>
      <w:r w:rsidRPr="00122C8A">
        <w:rPr>
          <w:rFonts w:ascii="微軟正黑體" w:eastAsia="微軟正黑體" w:hAnsi="微軟正黑體" w:hint="eastAsia"/>
        </w:rPr>
        <w:t>和因子輪動</w:t>
      </w:r>
      <w:r w:rsidR="00D27AD9" w:rsidRPr="00122C8A">
        <w:rPr>
          <w:rFonts w:ascii="微軟正黑體" w:eastAsia="微軟正黑體" w:hAnsi="微軟正黑體" w:hint="eastAsia"/>
        </w:rPr>
        <w:t>投資市場</w:t>
      </w:r>
      <w:r w:rsidR="00680BC0" w:rsidRPr="00122C8A">
        <w:rPr>
          <w:rFonts w:ascii="微軟正黑體" w:eastAsia="微軟正黑體" w:hAnsi="微軟正黑體" w:hint="eastAsia"/>
        </w:rPr>
        <w:t>以及結合E</w:t>
      </w:r>
      <w:r w:rsidR="00680BC0" w:rsidRPr="00122C8A">
        <w:rPr>
          <w:rFonts w:ascii="微軟正黑體" w:eastAsia="微軟正黑體" w:hAnsi="微軟正黑體"/>
        </w:rPr>
        <w:t>SG</w:t>
      </w:r>
      <w:r w:rsidR="00680BC0" w:rsidRPr="00122C8A">
        <w:rPr>
          <w:rFonts w:ascii="微軟正黑體" w:eastAsia="微軟正黑體" w:hAnsi="微軟正黑體" w:hint="eastAsia"/>
        </w:rPr>
        <w:t>理念的投資等。</w:t>
      </w:r>
      <w:r w:rsidR="00455401" w:rsidRPr="00122C8A">
        <w:rPr>
          <w:rFonts w:ascii="微軟正黑體" w:eastAsia="微軟正黑體" w:hAnsi="微軟正黑體" w:hint="eastAsia"/>
        </w:rPr>
        <w:t>此外，</w:t>
      </w:r>
      <w:r w:rsidRPr="00122C8A">
        <w:rPr>
          <w:rFonts w:ascii="微軟正黑體" w:eastAsia="微軟正黑體" w:hAnsi="微軟正黑體" w:hint="eastAsia"/>
        </w:rPr>
        <w:t>主動式管理</w:t>
      </w:r>
      <w:r w:rsidR="00455401" w:rsidRPr="00122C8A">
        <w:rPr>
          <w:rFonts w:ascii="微軟正黑體" w:eastAsia="微軟正黑體" w:hAnsi="微軟正黑體" w:hint="eastAsia"/>
        </w:rPr>
        <w:t>產品</w:t>
      </w:r>
      <w:r w:rsidRPr="00122C8A">
        <w:rPr>
          <w:rFonts w:ascii="微軟正黑體" w:eastAsia="微軟正黑體" w:hAnsi="微軟正黑體" w:hint="eastAsia"/>
        </w:rPr>
        <w:t>是近來全球ET</w:t>
      </w:r>
      <w:r w:rsidR="00455401" w:rsidRPr="00122C8A">
        <w:rPr>
          <w:rFonts w:ascii="微軟正黑體" w:eastAsia="微軟正黑體" w:hAnsi="微軟正黑體" w:hint="eastAsia"/>
        </w:rPr>
        <w:t>Ｆ市場</w:t>
      </w:r>
      <w:r w:rsidRPr="00122C8A">
        <w:rPr>
          <w:rFonts w:ascii="微軟正黑體" w:eastAsia="微軟正黑體" w:hAnsi="微軟正黑體" w:hint="eastAsia"/>
        </w:rPr>
        <w:t>最受矚目的發展，</w:t>
      </w:r>
      <w:r w:rsidR="00E36D3D" w:rsidRPr="00122C8A">
        <w:rPr>
          <w:rFonts w:ascii="微軟正黑體" w:eastAsia="微軟正黑體" w:hAnsi="微軟正黑體" w:hint="eastAsia"/>
        </w:rPr>
        <w:t>雖</w:t>
      </w:r>
      <w:r w:rsidR="0000676E" w:rsidRPr="00122C8A">
        <w:rPr>
          <w:rFonts w:ascii="微軟正黑體" w:eastAsia="微軟正黑體" w:hAnsi="微軟正黑體" w:hint="eastAsia"/>
        </w:rPr>
        <w:t>因</w:t>
      </w:r>
      <w:r w:rsidRPr="00122C8A">
        <w:rPr>
          <w:rFonts w:ascii="微軟正黑體" w:eastAsia="微軟正黑體" w:hAnsi="微軟正黑體" w:hint="eastAsia"/>
        </w:rPr>
        <w:t>市場法規和需求驅動因素不同而有差異，</w:t>
      </w:r>
      <w:r w:rsidR="00E36D3D" w:rsidRPr="00122C8A">
        <w:rPr>
          <w:rFonts w:ascii="微軟正黑體" w:eastAsia="微軟正黑體" w:hAnsi="微軟正黑體" w:hint="eastAsia"/>
        </w:rPr>
        <w:t>但</w:t>
      </w:r>
      <w:r w:rsidRPr="00122C8A">
        <w:rPr>
          <w:rFonts w:ascii="微軟正黑體" w:eastAsia="微軟正黑體" w:hAnsi="微軟正黑體" w:hint="eastAsia"/>
        </w:rPr>
        <w:t>預期</w:t>
      </w:r>
      <w:r w:rsidR="00455401" w:rsidRPr="00122C8A">
        <w:rPr>
          <w:rFonts w:ascii="微軟正黑體" w:eastAsia="微軟正黑體" w:hAnsi="微軟正黑體" w:hint="eastAsia"/>
        </w:rPr>
        <w:t>是</w:t>
      </w:r>
      <w:r w:rsidRPr="00122C8A">
        <w:rPr>
          <w:rFonts w:ascii="微軟正黑體" w:eastAsia="微軟正黑體" w:hAnsi="微軟正黑體" w:hint="eastAsia"/>
        </w:rPr>
        <w:t>未來ETF 成長</w:t>
      </w:r>
      <w:r w:rsidR="00455401" w:rsidRPr="00122C8A">
        <w:rPr>
          <w:rFonts w:ascii="微軟正黑體" w:eastAsia="微軟正黑體" w:hAnsi="微軟正黑體" w:hint="eastAsia"/>
        </w:rPr>
        <w:t>及</w:t>
      </w:r>
      <w:r w:rsidRPr="00122C8A">
        <w:rPr>
          <w:rFonts w:ascii="微軟正黑體" w:eastAsia="微軟正黑體" w:hAnsi="微軟正黑體" w:hint="eastAsia"/>
        </w:rPr>
        <w:t>持續創新</w:t>
      </w:r>
      <w:r w:rsidR="00455401" w:rsidRPr="00122C8A">
        <w:rPr>
          <w:rFonts w:ascii="微軟正黑體" w:eastAsia="微軟正黑體" w:hAnsi="微軟正黑體" w:hint="eastAsia"/>
        </w:rPr>
        <w:t>的</w:t>
      </w:r>
      <w:r w:rsidRPr="00122C8A">
        <w:rPr>
          <w:rFonts w:ascii="微軟正黑體" w:eastAsia="微軟正黑體" w:hAnsi="微軟正黑體" w:hint="eastAsia"/>
        </w:rPr>
        <w:t>重要要素。</w:t>
      </w:r>
    </w:p>
    <w:p w14:paraId="73CAF92C" w14:textId="77628EA9" w:rsidR="00AE7066" w:rsidRPr="00122C8A" w:rsidRDefault="00AE7066" w:rsidP="00AE7066">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彭博研究亞太區ETF研究主管暨資深分析師Rebecca Sin女士則在演講中分享亞太、台灣及美國ETF市場的概況以及IOSCO的ETF守則可能帶來的影響</w:t>
      </w:r>
      <w:r w:rsidR="00E36D3D" w:rsidRPr="00122C8A">
        <w:rPr>
          <w:rFonts w:ascii="微軟正黑體" w:eastAsia="微軟正黑體" w:hAnsi="微軟正黑體" w:hint="eastAsia"/>
        </w:rPr>
        <w:t>。</w:t>
      </w:r>
      <w:r w:rsidRPr="00122C8A">
        <w:rPr>
          <w:rFonts w:ascii="微軟正黑體" w:eastAsia="微軟正黑體" w:hAnsi="微軟正黑體" w:hint="eastAsia"/>
        </w:rPr>
        <w:t>在ETF的未來發展方面，Sin女士指出AI 人工智慧將幫助推動科技 ETF 的成長，值得資產管理業者關注的亮點則是近年崛起的主動式管理ETF。</w:t>
      </w:r>
    </w:p>
    <w:p w14:paraId="7C04A204" w14:textId="77777777" w:rsidR="00AE7066" w:rsidRPr="00122C8A" w:rsidRDefault="00AE7066" w:rsidP="00AE7066">
      <w:pPr>
        <w:spacing w:afterLines="50" w:after="180" w:line="400" w:lineRule="exact"/>
        <w:ind w:firstLineChars="200" w:firstLine="480"/>
        <w:rPr>
          <w:rFonts w:ascii="微軟正黑體" w:eastAsia="微軟正黑體" w:hAnsi="微軟正黑體"/>
        </w:rPr>
      </w:pPr>
      <w:r w:rsidRPr="00122C8A">
        <w:rPr>
          <w:rFonts w:ascii="微軟正黑體" w:eastAsia="微軟正黑體" w:hAnsi="微軟正黑體" w:hint="eastAsia"/>
        </w:rPr>
        <w:t>本次論壇透過國內外專家的解析及經驗分享，協助國內資產管理業者瞭解如何落實永續發展政策及揭露準則，以及ETF的商品創新、未來發展及監理趨勢論壇活動在所有講者的精彩演說以及眾多投信投顧高階主管、從業人員熱情參與下，順利圓滿落幕。</w:t>
      </w:r>
    </w:p>
    <w:p w14:paraId="7768F614" w14:textId="1DA91E85" w:rsidR="00CE4AF9" w:rsidRPr="00CE4AF9" w:rsidRDefault="005C52B7" w:rsidP="00AE7066">
      <w:pPr>
        <w:spacing w:afterLines="50" w:after="180" w:line="400" w:lineRule="exact"/>
        <w:jc w:val="center"/>
        <w:rPr>
          <w:rFonts w:ascii="微軟正黑體" w:eastAsia="微軟正黑體" w:hAnsi="微軟正黑體"/>
        </w:rPr>
      </w:pPr>
      <w:r w:rsidRPr="002113A5">
        <w:rPr>
          <w:rFonts w:ascii="微軟正黑體" w:eastAsia="微軟正黑體" w:hAnsi="微軟正黑體" w:hint="eastAsia"/>
        </w:rPr>
        <w:t>###</w:t>
      </w:r>
    </w:p>
    <w:sectPr w:rsidR="00CE4AF9" w:rsidRPr="00CE4AF9" w:rsidSect="00F4176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6FAA" w14:textId="77777777" w:rsidR="004C28F9" w:rsidRDefault="004C28F9" w:rsidP="00031789">
      <w:r>
        <w:separator/>
      </w:r>
    </w:p>
  </w:endnote>
  <w:endnote w:type="continuationSeparator" w:id="0">
    <w:p w14:paraId="4CD50F44" w14:textId="77777777" w:rsidR="004C28F9" w:rsidRDefault="004C28F9" w:rsidP="0003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粗黑體(P)">
    <w:altName w:val="微軟正黑體"/>
    <w:charset w:val="88"/>
    <w:family w:val="swiss"/>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D407" w14:textId="77777777" w:rsidR="004C28F9" w:rsidRDefault="004C28F9" w:rsidP="00031789">
      <w:r>
        <w:separator/>
      </w:r>
    </w:p>
  </w:footnote>
  <w:footnote w:type="continuationSeparator" w:id="0">
    <w:p w14:paraId="7BB7CAA8" w14:textId="77777777" w:rsidR="004C28F9" w:rsidRDefault="004C28F9" w:rsidP="0003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D8"/>
    <w:rsid w:val="0000676E"/>
    <w:rsid w:val="000079C8"/>
    <w:rsid w:val="00012C46"/>
    <w:rsid w:val="00031789"/>
    <w:rsid w:val="000632E8"/>
    <w:rsid w:val="00063365"/>
    <w:rsid w:val="000C5314"/>
    <w:rsid w:val="00122C8A"/>
    <w:rsid w:val="00145E1A"/>
    <w:rsid w:val="0017437E"/>
    <w:rsid w:val="001C4910"/>
    <w:rsid w:val="001D2D46"/>
    <w:rsid w:val="001E1A74"/>
    <w:rsid w:val="001E3CAA"/>
    <w:rsid w:val="002113A5"/>
    <w:rsid w:val="002324B7"/>
    <w:rsid w:val="00290CC7"/>
    <w:rsid w:val="002B7929"/>
    <w:rsid w:val="002D6433"/>
    <w:rsid w:val="00300DB8"/>
    <w:rsid w:val="003667C6"/>
    <w:rsid w:val="0038525C"/>
    <w:rsid w:val="0039417B"/>
    <w:rsid w:val="003A72B1"/>
    <w:rsid w:val="003C650E"/>
    <w:rsid w:val="00412E77"/>
    <w:rsid w:val="00424D05"/>
    <w:rsid w:val="00455401"/>
    <w:rsid w:val="004635FF"/>
    <w:rsid w:val="00473DD7"/>
    <w:rsid w:val="00487258"/>
    <w:rsid w:val="004C28F9"/>
    <w:rsid w:val="005444FE"/>
    <w:rsid w:val="00552278"/>
    <w:rsid w:val="00555855"/>
    <w:rsid w:val="0056081F"/>
    <w:rsid w:val="005B4355"/>
    <w:rsid w:val="005C52B7"/>
    <w:rsid w:val="005D2A64"/>
    <w:rsid w:val="00615092"/>
    <w:rsid w:val="0061648A"/>
    <w:rsid w:val="00631E02"/>
    <w:rsid w:val="006333BE"/>
    <w:rsid w:val="00646211"/>
    <w:rsid w:val="00652C3E"/>
    <w:rsid w:val="006562E8"/>
    <w:rsid w:val="00680BC0"/>
    <w:rsid w:val="00681F3B"/>
    <w:rsid w:val="00694291"/>
    <w:rsid w:val="006C70A3"/>
    <w:rsid w:val="006D740F"/>
    <w:rsid w:val="006D782F"/>
    <w:rsid w:val="006E611D"/>
    <w:rsid w:val="00710308"/>
    <w:rsid w:val="00713B67"/>
    <w:rsid w:val="0074517E"/>
    <w:rsid w:val="00746E7F"/>
    <w:rsid w:val="00750736"/>
    <w:rsid w:val="0076707F"/>
    <w:rsid w:val="007A4950"/>
    <w:rsid w:val="007C11FE"/>
    <w:rsid w:val="008418FB"/>
    <w:rsid w:val="00845258"/>
    <w:rsid w:val="008473C6"/>
    <w:rsid w:val="00870AA3"/>
    <w:rsid w:val="008C306E"/>
    <w:rsid w:val="0092095C"/>
    <w:rsid w:val="009447FF"/>
    <w:rsid w:val="00986E46"/>
    <w:rsid w:val="009919B1"/>
    <w:rsid w:val="009E1AD8"/>
    <w:rsid w:val="00A10801"/>
    <w:rsid w:val="00A37A8B"/>
    <w:rsid w:val="00A54419"/>
    <w:rsid w:val="00A77289"/>
    <w:rsid w:val="00A8449E"/>
    <w:rsid w:val="00AB5884"/>
    <w:rsid w:val="00AE7066"/>
    <w:rsid w:val="00B12DE7"/>
    <w:rsid w:val="00B23A26"/>
    <w:rsid w:val="00B65AB8"/>
    <w:rsid w:val="00B7272D"/>
    <w:rsid w:val="00B73D92"/>
    <w:rsid w:val="00BA49CA"/>
    <w:rsid w:val="00BD7141"/>
    <w:rsid w:val="00C24798"/>
    <w:rsid w:val="00C375F6"/>
    <w:rsid w:val="00C5124B"/>
    <w:rsid w:val="00C61A63"/>
    <w:rsid w:val="00C839F5"/>
    <w:rsid w:val="00CA0A9E"/>
    <w:rsid w:val="00CA30B3"/>
    <w:rsid w:val="00CB519A"/>
    <w:rsid w:val="00CE317C"/>
    <w:rsid w:val="00CE4AF9"/>
    <w:rsid w:val="00D06108"/>
    <w:rsid w:val="00D20EF7"/>
    <w:rsid w:val="00D27AD9"/>
    <w:rsid w:val="00D371F6"/>
    <w:rsid w:val="00D44F01"/>
    <w:rsid w:val="00D50D0A"/>
    <w:rsid w:val="00D61CC5"/>
    <w:rsid w:val="00D6247B"/>
    <w:rsid w:val="00D834F0"/>
    <w:rsid w:val="00D864C6"/>
    <w:rsid w:val="00DB79E7"/>
    <w:rsid w:val="00DF757A"/>
    <w:rsid w:val="00E25975"/>
    <w:rsid w:val="00E36D3D"/>
    <w:rsid w:val="00E75C94"/>
    <w:rsid w:val="00E858B8"/>
    <w:rsid w:val="00E863B7"/>
    <w:rsid w:val="00EB7204"/>
    <w:rsid w:val="00EC3714"/>
    <w:rsid w:val="00EF08E5"/>
    <w:rsid w:val="00F12245"/>
    <w:rsid w:val="00F4176B"/>
    <w:rsid w:val="00F52E87"/>
    <w:rsid w:val="00F90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C124F"/>
  <w15:chartTrackingRefBased/>
  <w15:docId w15:val="{477FA0F6-E075-49BC-90AB-A6A8B6A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C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2C46"/>
    <w:rPr>
      <w:rFonts w:ascii="細明體" w:eastAsia="細明體" w:hAnsi="Courier New"/>
      <w:szCs w:val="20"/>
    </w:rPr>
  </w:style>
  <w:style w:type="character" w:customStyle="1" w:styleId="a4">
    <w:name w:val="純文字 字元"/>
    <w:basedOn w:val="a0"/>
    <w:link w:val="a3"/>
    <w:rsid w:val="00012C46"/>
    <w:rPr>
      <w:rFonts w:ascii="細明體" w:eastAsia="細明體" w:hAnsi="Courier New" w:cs="Times New Roman"/>
      <w:szCs w:val="20"/>
    </w:rPr>
  </w:style>
  <w:style w:type="paragraph" w:styleId="a5">
    <w:name w:val="List Paragraph"/>
    <w:basedOn w:val="a"/>
    <w:uiPriority w:val="99"/>
    <w:qFormat/>
    <w:rsid w:val="00012C46"/>
    <w:pPr>
      <w:ind w:leftChars="200" w:left="480"/>
    </w:pPr>
    <w:rPr>
      <w:rFonts w:ascii="Calibri" w:hAnsi="Calibri"/>
      <w:szCs w:val="22"/>
    </w:rPr>
  </w:style>
  <w:style w:type="paragraph" w:customStyle="1" w:styleId="Default">
    <w:name w:val="Default"/>
    <w:rsid w:val="00412E77"/>
    <w:pPr>
      <w:widowControl w:val="0"/>
      <w:autoSpaceDE w:val="0"/>
      <w:autoSpaceDN w:val="0"/>
      <w:adjustRightInd w:val="0"/>
    </w:pPr>
    <w:rPr>
      <w:rFonts w:ascii="新細明體" w:eastAsia="新細明體" w:cs="新細明體"/>
      <w:color w:val="000000"/>
      <w:kern w:val="0"/>
      <w:szCs w:val="24"/>
    </w:rPr>
  </w:style>
  <w:style w:type="paragraph" w:styleId="HTML">
    <w:name w:val="HTML Preformatted"/>
    <w:basedOn w:val="a"/>
    <w:link w:val="HTML0"/>
    <w:uiPriority w:val="99"/>
    <w:semiHidden/>
    <w:unhideWhenUsed/>
    <w:rsid w:val="001E3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E3CAA"/>
    <w:rPr>
      <w:rFonts w:ascii="細明體" w:eastAsia="細明體" w:hAnsi="細明體" w:cs="細明體"/>
      <w:kern w:val="0"/>
      <w:szCs w:val="24"/>
    </w:rPr>
  </w:style>
  <w:style w:type="character" w:styleId="a6">
    <w:name w:val="Emphasis"/>
    <w:basedOn w:val="a0"/>
    <w:uiPriority w:val="20"/>
    <w:qFormat/>
    <w:rsid w:val="001E3CAA"/>
    <w:rPr>
      <w:i/>
      <w:iCs/>
    </w:rPr>
  </w:style>
  <w:style w:type="paragraph" w:styleId="a7">
    <w:name w:val="header"/>
    <w:basedOn w:val="a"/>
    <w:link w:val="a8"/>
    <w:uiPriority w:val="99"/>
    <w:unhideWhenUsed/>
    <w:rsid w:val="00031789"/>
    <w:pPr>
      <w:tabs>
        <w:tab w:val="center" w:pos="4153"/>
        <w:tab w:val="right" w:pos="8306"/>
      </w:tabs>
      <w:snapToGrid w:val="0"/>
    </w:pPr>
    <w:rPr>
      <w:sz w:val="20"/>
      <w:szCs w:val="20"/>
    </w:rPr>
  </w:style>
  <w:style w:type="character" w:customStyle="1" w:styleId="a8">
    <w:name w:val="頁首 字元"/>
    <w:basedOn w:val="a0"/>
    <w:link w:val="a7"/>
    <w:uiPriority w:val="99"/>
    <w:rsid w:val="00031789"/>
    <w:rPr>
      <w:rFonts w:ascii="Times New Roman" w:eastAsia="新細明體" w:hAnsi="Times New Roman" w:cs="Times New Roman"/>
      <w:sz w:val="20"/>
      <w:szCs w:val="20"/>
    </w:rPr>
  </w:style>
  <w:style w:type="paragraph" w:styleId="a9">
    <w:name w:val="footer"/>
    <w:basedOn w:val="a"/>
    <w:link w:val="aa"/>
    <w:uiPriority w:val="99"/>
    <w:unhideWhenUsed/>
    <w:rsid w:val="00031789"/>
    <w:pPr>
      <w:tabs>
        <w:tab w:val="center" w:pos="4153"/>
        <w:tab w:val="right" w:pos="8306"/>
      </w:tabs>
      <w:snapToGrid w:val="0"/>
    </w:pPr>
    <w:rPr>
      <w:sz w:val="20"/>
      <w:szCs w:val="20"/>
    </w:rPr>
  </w:style>
  <w:style w:type="character" w:customStyle="1" w:styleId="aa">
    <w:name w:val="頁尾 字元"/>
    <w:basedOn w:val="a0"/>
    <w:link w:val="a9"/>
    <w:uiPriority w:val="99"/>
    <w:rsid w:val="000317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695">
      <w:bodyDiv w:val="1"/>
      <w:marLeft w:val="0"/>
      <w:marRight w:val="0"/>
      <w:marTop w:val="0"/>
      <w:marBottom w:val="0"/>
      <w:divBdr>
        <w:top w:val="none" w:sz="0" w:space="0" w:color="auto"/>
        <w:left w:val="none" w:sz="0" w:space="0" w:color="auto"/>
        <w:bottom w:val="none" w:sz="0" w:space="0" w:color="auto"/>
        <w:right w:val="none" w:sz="0" w:space="0" w:color="auto"/>
      </w:divBdr>
    </w:div>
    <w:div w:id="541594626">
      <w:bodyDiv w:val="1"/>
      <w:marLeft w:val="0"/>
      <w:marRight w:val="0"/>
      <w:marTop w:val="0"/>
      <w:marBottom w:val="0"/>
      <w:divBdr>
        <w:top w:val="none" w:sz="0" w:space="0" w:color="auto"/>
        <w:left w:val="none" w:sz="0" w:space="0" w:color="auto"/>
        <w:bottom w:val="none" w:sz="0" w:space="0" w:color="auto"/>
        <w:right w:val="none" w:sz="0" w:space="0" w:color="auto"/>
      </w:divBdr>
    </w:div>
    <w:div w:id="1195726467">
      <w:bodyDiv w:val="1"/>
      <w:marLeft w:val="0"/>
      <w:marRight w:val="0"/>
      <w:marTop w:val="0"/>
      <w:marBottom w:val="0"/>
      <w:divBdr>
        <w:top w:val="none" w:sz="0" w:space="0" w:color="auto"/>
        <w:left w:val="none" w:sz="0" w:space="0" w:color="auto"/>
        <w:bottom w:val="none" w:sz="0" w:space="0" w:color="auto"/>
        <w:right w:val="none" w:sz="0" w:space="0" w:color="auto"/>
      </w:divBdr>
    </w:div>
    <w:div w:id="1633899074">
      <w:bodyDiv w:val="1"/>
      <w:marLeft w:val="0"/>
      <w:marRight w:val="0"/>
      <w:marTop w:val="0"/>
      <w:marBottom w:val="0"/>
      <w:divBdr>
        <w:top w:val="none" w:sz="0" w:space="0" w:color="auto"/>
        <w:left w:val="none" w:sz="0" w:space="0" w:color="auto"/>
        <w:bottom w:val="none" w:sz="0" w:space="0" w:color="auto"/>
        <w:right w:val="none" w:sz="0" w:space="0" w:color="auto"/>
      </w:divBdr>
    </w:div>
    <w:div w:id="17563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9AB1-A3DF-4F58-BC53-2D982114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陳湘文</dc:creator>
  <cp:keywords/>
  <dc:description/>
  <cp:lastModifiedBy>投信投顧公會 吳承芳</cp:lastModifiedBy>
  <cp:revision>4</cp:revision>
  <cp:lastPrinted>2023-06-14T10:02:00Z</cp:lastPrinted>
  <dcterms:created xsi:type="dcterms:W3CDTF">2023-10-02T10:53:00Z</dcterms:created>
  <dcterms:modified xsi:type="dcterms:W3CDTF">2023-10-03T07:06:00Z</dcterms:modified>
</cp:coreProperties>
</file>