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E6" w:rsidRDefault="00117588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權值股比重低 台股基金輸給大盤</w:t>
      </w:r>
    </w:p>
    <w:p w:rsidR="00117588" w:rsidRDefault="00117588" w:rsidP="0011758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邱顯比 李存修</w:t>
      </w:r>
    </w:p>
    <w:p w:rsidR="00AA2981" w:rsidRPr="00A22E8F" w:rsidRDefault="00117588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Cs w:val="24"/>
        </w:rPr>
        <w:tab/>
      </w:r>
      <w:r w:rsidRPr="00A22E8F">
        <w:rPr>
          <w:rFonts w:ascii="標楷體" w:eastAsia="標楷體" w:hAnsi="標楷體" w:hint="eastAsia"/>
          <w:sz w:val="28"/>
          <w:szCs w:val="28"/>
        </w:rPr>
        <w:t>美國10月整體勞動市場持續溫和成長的趨勢未變</w:t>
      </w:r>
      <w:r w:rsidR="00AC137B" w:rsidRPr="00A22E8F">
        <w:rPr>
          <w:rFonts w:ascii="標楷體" w:eastAsia="標楷體" w:hAnsi="標楷體" w:hint="eastAsia"/>
          <w:sz w:val="28"/>
          <w:szCs w:val="28"/>
        </w:rPr>
        <w:t>，加上近期其他經濟數據亦多見改善，市場對FED年底升息的預期逐漸加溫，升息機率已升破70%。美國10年期公債殖利率10月以來強彈25個基本點至1.85%，使得資金撤出公債市場，轉向經濟狀況好轉，又具高息優勢的新興債市。另一方面，美國FBI在總統大選投票</w:t>
      </w:r>
      <w:r w:rsidR="004C497F">
        <w:rPr>
          <w:rFonts w:ascii="標楷體" w:eastAsia="標楷體" w:hAnsi="標楷體" w:hint="eastAsia"/>
          <w:sz w:val="28"/>
          <w:szCs w:val="28"/>
        </w:rPr>
        <w:t>日逼近時投下重啟希拉蕊電郵門調查的震撼彈，川普當選機率升高，引發</w:t>
      </w:r>
      <w:r w:rsidR="00AC137B" w:rsidRPr="00A22E8F">
        <w:rPr>
          <w:rFonts w:ascii="標楷體" w:eastAsia="標楷體" w:hAnsi="標楷體" w:hint="eastAsia"/>
          <w:sz w:val="28"/>
          <w:szCs w:val="28"/>
        </w:rPr>
        <w:t>金融市場震盪，股市下跌，安全資產美債和黃金價格上揚。</w:t>
      </w:r>
    </w:p>
    <w:p w:rsidR="00AA2981" w:rsidRPr="00A22E8F" w:rsidRDefault="00AC137B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A22E8F">
        <w:rPr>
          <w:rFonts w:ascii="標楷體" w:eastAsia="標楷體" w:hAnsi="標楷體"/>
          <w:sz w:val="28"/>
          <w:szCs w:val="28"/>
        </w:rPr>
        <w:tab/>
      </w:r>
      <w:r w:rsidRPr="00A22E8F">
        <w:rPr>
          <w:rFonts w:ascii="標楷體" w:eastAsia="標楷體" w:hAnsi="標楷體" w:hint="eastAsia"/>
          <w:sz w:val="28"/>
          <w:szCs w:val="28"/>
        </w:rPr>
        <w:t>台灣加權股價報酬指數10月上漲1.35%，台灣50報酬指數上漲2.49%，OTC報酬指數卻下跌3.39%，呈現大小型股走勢相反的現象。1</w:t>
      </w:r>
      <w:r w:rsidR="009076AF">
        <w:rPr>
          <w:rFonts w:ascii="標楷體" w:eastAsia="標楷體" w:hAnsi="標楷體" w:hint="eastAsia"/>
          <w:sz w:val="28"/>
          <w:szCs w:val="28"/>
        </w:rPr>
        <w:t>66</w:t>
      </w:r>
      <w:bookmarkStart w:id="0" w:name="_GoBack"/>
      <w:bookmarkEnd w:id="0"/>
      <w:r w:rsidRPr="00A22E8F">
        <w:rPr>
          <w:rFonts w:ascii="標楷體" w:eastAsia="標楷體" w:hAnsi="標楷體" w:hint="eastAsia"/>
          <w:sz w:val="28"/>
          <w:szCs w:val="28"/>
        </w:rPr>
        <w:t>檔台股基金平均報酬率-2.00%，落後大盤3.35%</w:t>
      </w:r>
      <w:r w:rsidR="004C497F">
        <w:rPr>
          <w:rFonts w:ascii="標楷體" w:eastAsia="標楷體" w:hAnsi="標楷體" w:hint="eastAsia"/>
          <w:sz w:val="28"/>
          <w:szCs w:val="28"/>
        </w:rPr>
        <w:t>，擊敗大盤者</w:t>
      </w:r>
      <w:r w:rsidRPr="00A22E8F">
        <w:rPr>
          <w:rFonts w:ascii="標楷體" w:eastAsia="標楷體" w:hAnsi="標楷體" w:hint="eastAsia"/>
          <w:sz w:val="28"/>
          <w:szCs w:val="28"/>
        </w:rPr>
        <w:t>僅佔9.04%，正報酬僅有15.66%。8～10月3個月期間，台灣加權股價報酬指數上漲</w:t>
      </w:r>
      <w:r w:rsidRPr="00A22E8F">
        <w:rPr>
          <w:rFonts w:ascii="標楷體" w:eastAsia="標楷體" w:hAnsi="標楷體"/>
          <w:sz w:val="28"/>
          <w:szCs w:val="28"/>
        </w:rPr>
        <w:t>4.73</w:t>
      </w:r>
      <w:r w:rsidRPr="00A22E8F">
        <w:rPr>
          <w:rFonts w:ascii="標楷體" w:eastAsia="標楷體" w:hAnsi="標楷體" w:hint="eastAsia"/>
          <w:sz w:val="28"/>
          <w:szCs w:val="28"/>
        </w:rPr>
        <w:t>%，台灣50報酬指數上漲6.16%</w:t>
      </w:r>
      <w:r w:rsidR="00497580" w:rsidRPr="00A22E8F">
        <w:rPr>
          <w:rFonts w:ascii="標楷體" w:eastAsia="標楷體" w:hAnsi="標楷體" w:hint="eastAsia"/>
          <w:sz w:val="28"/>
          <w:szCs w:val="28"/>
        </w:rPr>
        <w:t>，但台股基金平均報酬率僅1.92</w:t>
      </w:r>
      <w:r w:rsidR="00497580" w:rsidRPr="00A22E8F">
        <w:rPr>
          <w:rFonts w:ascii="標楷體" w:eastAsia="標楷體" w:hAnsi="標楷體"/>
          <w:sz w:val="28"/>
          <w:szCs w:val="28"/>
        </w:rPr>
        <w:t>%</w:t>
      </w:r>
      <w:r w:rsidR="00497580" w:rsidRPr="00A22E8F">
        <w:rPr>
          <w:rFonts w:ascii="標楷體" w:eastAsia="標楷體" w:hAnsi="標楷體" w:hint="eastAsia"/>
          <w:sz w:val="28"/>
          <w:szCs w:val="28"/>
        </w:rPr>
        <w:t>，輸大盤2.81%，主要輸在10月。從年初至10月底，台灣</w:t>
      </w:r>
      <w:r w:rsidR="008A142F" w:rsidRPr="00A22E8F">
        <w:rPr>
          <w:rFonts w:ascii="標楷體" w:eastAsia="標楷體" w:hAnsi="標楷體" w:hint="eastAsia"/>
          <w:sz w:val="28"/>
          <w:szCs w:val="28"/>
        </w:rPr>
        <w:t>加權股價報酬指數大漲16.03%，但台股基金平均僅上漲10.08%，輸給大盤6%之多，更遠落後台灣50報酬指數的20.5%。共同基金要打敗指數，持股內容與權重必然與指數成分不完全相同，但是偏離指數，也隱含被指數打敗的風險。今年台灣股市，外資普遍較內資樂觀，</w:t>
      </w:r>
      <w:r w:rsidR="008A142F" w:rsidRPr="00A22E8F">
        <w:rPr>
          <w:rFonts w:ascii="標楷體" w:eastAsia="標楷體" w:hAnsi="標楷體" w:hint="eastAsia"/>
          <w:sz w:val="28"/>
          <w:szCs w:val="28"/>
        </w:rPr>
        <w:lastRenderedPageBreak/>
        <w:t>外資持續買入的結果，讓權值股表現優於中小型股；另外台積電今年以來強勁的表現，</w:t>
      </w:r>
      <w:r w:rsidR="00AA2981" w:rsidRPr="00A22E8F">
        <w:rPr>
          <w:rFonts w:ascii="標楷體" w:eastAsia="標楷體" w:hAnsi="標楷體" w:hint="eastAsia"/>
          <w:sz w:val="28"/>
          <w:szCs w:val="28"/>
        </w:rPr>
        <w:t>市值首度超過新台幣5兆元，佔台灣加權股價指數18%。台股基金今年如果持有權值股比重較低，特別是持有台積電比重低於指數比重，就很難有好成績。14檔台股一般型ETF(非槓桿、反向)，平均報酬率14.</w:t>
      </w:r>
      <w:r w:rsidR="00AA2981" w:rsidRPr="00A22E8F">
        <w:rPr>
          <w:rFonts w:ascii="標楷體" w:eastAsia="標楷體" w:hAnsi="標楷體"/>
          <w:sz w:val="28"/>
          <w:szCs w:val="28"/>
        </w:rPr>
        <w:t>73%</w:t>
      </w:r>
      <w:r w:rsidR="00AA2981" w:rsidRPr="00A22E8F">
        <w:rPr>
          <w:rFonts w:ascii="標楷體" w:eastAsia="標楷體" w:hAnsi="標楷體" w:hint="eastAsia"/>
          <w:sz w:val="28"/>
          <w:szCs w:val="28"/>
        </w:rPr>
        <w:t>，大幅超越主動型基金，第一名富邦台灣科技ETF(</w:t>
      </w:r>
      <w:r w:rsidR="00AA2981" w:rsidRPr="00A22E8F">
        <w:rPr>
          <w:rFonts w:ascii="標楷體" w:eastAsia="標楷體" w:hAnsi="標楷體"/>
          <w:sz w:val="28"/>
          <w:szCs w:val="28"/>
        </w:rPr>
        <w:t>26.43%)</w:t>
      </w:r>
      <w:r w:rsidR="00AA2981" w:rsidRPr="00A22E8F">
        <w:rPr>
          <w:rFonts w:ascii="標楷體" w:eastAsia="標楷體" w:hAnsi="標楷體" w:hint="eastAsia"/>
          <w:sz w:val="28"/>
          <w:szCs w:val="28"/>
        </w:rPr>
        <w:t>，勝過主動型第一名安聯台灣科技(</w:t>
      </w:r>
      <w:r w:rsidR="00AA2981" w:rsidRPr="00A22E8F">
        <w:rPr>
          <w:rFonts w:ascii="標楷體" w:eastAsia="標楷體" w:hAnsi="標楷體"/>
          <w:sz w:val="28"/>
          <w:szCs w:val="28"/>
        </w:rPr>
        <w:t>25.87%)</w:t>
      </w:r>
      <w:r w:rsidR="00AA2981" w:rsidRPr="00A22E8F">
        <w:rPr>
          <w:rFonts w:ascii="標楷體" w:eastAsia="標楷體" w:hAnsi="標楷體" w:hint="eastAsia"/>
          <w:sz w:val="28"/>
          <w:szCs w:val="28"/>
        </w:rPr>
        <w:t>。</w:t>
      </w:r>
    </w:p>
    <w:p w:rsidR="00AA2981" w:rsidRPr="00A22E8F" w:rsidRDefault="00AA2981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A22E8F">
        <w:rPr>
          <w:rFonts w:ascii="標楷體" w:eastAsia="標楷體" w:hAnsi="標楷體"/>
          <w:sz w:val="28"/>
          <w:szCs w:val="28"/>
        </w:rPr>
        <w:tab/>
      </w:r>
      <w:r w:rsidR="000D497D" w:rsidRPr="00A22E8F">
        <w:rPr>
          <w:rFonts w:ascii="標楷體" w:eastAsia="標楷體" w:hAnsi="標楷體" w:hint="eastAsia"/>
          <w:sz w:val="28"/>
          <w:szCs w:val="28"/>
        </w:rPr>
        <w:t>MSCI世界指數10月下跌1.67%，年初迄今小漲5.3%，遠遜於台股，因此大部分跨國投資股票型基金表現不是很好。10月3</w:t>
      </w:r>
      <w:r w:rsidR="000D497D" w:rsidRPr="00A22E8F">
        <w:rPr>
          <w:rFonts w:ascii="標楷體" w:eastAsia="標楷體" w:hAnsi="標楷體"/>
          <w:sz w:val="28"/>
          <w:szCs w:val="28"/>
        </w:rPr>
        <w:t>65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檔跨國投資股票型基金平均下跌0.71%，僅有新興市場(</w:t>
      </w:r>
      <w:r w:rsidR="000D497D" w:rsidRPr="00A22E8F">
        <w:rPr>
          <w:rFonts w:ascii="標楷體" w:eastAsia="標楷體" w:hAnsi="標楷體"/>
          <w:sz w:val="28"/>
          <w:szCs w:val="28"/>
        </w:rPr>
        <w:t>2.22%)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、日本一般型ETF(</w:t>
      </w:r>
      <w:r w:rsidR="000D497D" w:rsidRPr="00A22E8F">
        <w:rPr>
          <w:rFonts w:ascii="標楷體" w:eastAsia="標楷體" w:hAnsi="標楷體"/>
          <w:sz w:val="28"/>
          <w:szCs w:val="28"/>
        </w:rPr>
        <w:t>5.59%)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、其他單一國家/</w:t>
      </w:r>
      <w:r w:rsidR="004C497F">
        <w:rPr>
          <w:rFonts w:ascii="標楷體" w:eastAsia="標楷體" w:hAnsi="標楷體" w:hint="eastAsia"/>
          <w:sz w:val="28"/>
          <w:szCs w:val="28"/>
        </w:rPr>
        <w:t>市場股票型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(</w:t>
      </w:r>
      <w:r w:rsidR="000D497D" w:rsidRPr="00A22E8F">
        <w:rPr>
          <w:rFonts w:ascii="標楷體" w:eastAsia="標楷體" w:hAnsi="標楷體"/>
          <w:sz w:val="28"/>
          <w:szCs w:val="28"/>
        </w:rPr>
        <w:t>3.98%)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，有不錯表現。從年初以來，298檔跨國投資股票型基金平均下跌1.76%，遠低於MSCI世界指數。全球一般股票型(</w:t>
      </w:r>
      <w:r w:rsidR="000D497D" w:rsidRPr="00A22E8F">
        <w:rPr>
          <w:rFonts w:ascii="標楷體" w:eastAsia="標楷體" w:hAnsi="標楷體"/>
          <w:sz w:val="28"/>
          <w:szCs w:val="28"/>
        </w:rPr>
        <w:t>-4.93%)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、歐洲股票(</w:t>
      </w:r>
      <w:r w:rsidR="000D497D" w:rsidRPr="00A22E8F">
        <w:rPr>
          <w:rFonts w:ascii="標楷體" w:eastAsia="標楷體" w:hAnsi="標楷體"/>
          <w:sz w:val="28"/>
          <w:szCs w:val="28"/>
        </w:rPr>
        <w:t>-8.49%)</w:t>
      </w:r>
      <w:r w:rsidR="000D497D" w:rsidRPr="00A22E8F">
        <w:rPr>
          <w:rFonts w:ascii="標楷體" w:eastAsia="標楷體" w:hAnsi="標楷體" w:hint="eastAsia"/>
          <w:sz w:val="28"/>
          <w:szCs w:val="28"/>
        </w:rPr>
        <w:t>、大中華區股票(-7.69%)</w:t>
      </w:r>
      <w:r w:rsidR="00060310" w:rsidRPr="00A22E8F">
        <w:rPr>
          <w:rFonts w:ascii="標楷體" w:eastAsia="標楷體" w:hAnsi="標楷體" w:hint="eastAsia"/>
          <w:sz w:val="28"/>
          <w:szCs w:val="28"/>
        </w:rPr>
        <w:t>、美國股票</w:t>
      </w:r>
      <w:r w:rsidR="004C497F">
        <w:rPr>
          <w:rFonts w:ascii="標楷體" w:eastAsia="標楷體" w:hAnsi="標楷體" w:hint="eastAsia"/>
          <w:sz w:val="28"/>
          <w:szCs w:val="28"/>
        </w:rPr>
        <w:t>型</w:t>
      </w:r>
      <w:r w:rsidR="00060310" w:rsidRPr="00A22E8F">
        <w:rPr>
          <w:rFonts w:ascii="標楷體" w:eastAsia="標楷體" w:hAnsi="標楷體" w:hint="eastAsia"/>
          <w:sz w:val="28"/>
          <w:szCs w:val="28"/>
        </w:rPr>
        <w:t>(</w:t>
      </w:r>
      <w:r w:rsidR="00060310" w:rsidRPr="00A22E8F">
        <w:rPr>
          <w:rFonts w:ascii="標楷體" w:eastAsia="標楷體" w:hAnsi="標楷體"/>
          <w:sz w:val="28"/>
          <w:szCs w:val="28"/>
        </w:rPr>
        <w:t>-4.49%)</w:t>
      </w:r>
      <w:r w:rsidR="00060310" w:rsidRPr="00A22E8F">
        <w:rPr>
          <w:rFonts w:ascii="標楷體" w:eastAsia="標楷體" w:hAnsi="標楷體" w:hint="eastAsia"/>
          <w:sz w:val="28"/>
          <w:szCs w:val="28"/>
        </w:rPr>
        <w:t>、日本一般型ETF(</w:t>
      </w:r>
      <w:r w:rsidR="00060310" w:rsidRPr="00A22E8F">
        <w:rPr>
          <w:rFonts w:ascii="標楷體" w:eastAsia="標楷體" w:hAnsi="標楷體"/>
          <w:sz w:val="28"/>
          <w:szCs w:val="28"/>
        </w:rPr>
        <w:t>-10.01%)</w:t>
      </w:r>
      <w:r w:rsidR="00060310" w:rsidRPr="00A22E8F">
        <w:rPr>
          <w:rFonts w:ascii="標楷體" w:eastAsia="標楷體" w:hAnsi="標楷體" w:hint="eastAsia"/>
          <w:sz w:val="28"/>
          <w:szCs w:val="28"/>
        </w:rPr>
        <w:t>、中國大陸A股(</w:t>
      </w:r>
      <w:r w:rsidR="00060310" w:rsidRPr="00A22E8F">
        <w:rPr>
          <w:rFonts w:ascii="標楷體" w:eastAsia="標楷體" w:hAnsi="標楷體"/>
          <w:sz w:val="28"/>
          <w:szCs w:val="28"/>
        </w:rPr>
        <w:t>-9.99%)</w:t>
      </w:r>
      <w:r w:rsidR="00060310" w:rsidRPr="00A22E8F">
        <w:rPr>
          <w:rFonts w:ascii="標楷體" w:eastAsia="標楷體" w:hAnsi="標楷體" w:hint="eastAsia"/>
          <w:sz w:val="28"/>
          <w:szCs w:val="28"/>
        </w:rPr>
        <w:t>、中國大陸一般型ETF(</w:t>
      </w:r>
      <w:r w:rsidR="00060310" w:rsidRPr="00A22E8F">
        <w:rPr>
          <w:rFonts w:ascii="標楷體" w:eastAsia="標楷體" w:hAnsi="標楷體"/>
          <w:sz w:val="28"/>
          <w:szCs w:val="28"/>
        </w:rPr>
        <w:t>-15.69%)</w:t>
      </w:r>
      <w:r w:rsidR="00060310" w:rsidRPr="00A22E8F">
        <w:rPr>
          <w:rFonts w:ascii="標楷體" w:eastAsia="標楷體" w:hAnsi="標楷體" w:hint="eastAsia"/>
          <w:sz w:val="28"/>
          <w:szCs w:val="28"/>
        </w:rPr>
        <w:t>是損失較重的類別。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表現較佳的類別有全球資源型(</w:t>
      </w:r>
      <w:r w:rsidR="009576A5" w:rsidRPr="00A22E8F">
        <w:rPr>
          <w:rFonts w:ascii="標楷體" w:eastAsia="標楷體" w:hAnsi="標楷體"/>
          <w:sz w:val="28"/>
          <w:szCs w:val="28"/>
        </w:rPr>
        <w:t>6.43%)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、新興市場股票(</w:t>
      </w:r>
      <w:r w:rsidR="009576A5" w:rsidRPr="00A22E8F">
        <w:rPr>
          <w:rFonts w:ascii="標楷體" w:eastAsia="標楷體" w:hAnsi="標楷體"/>
          <w:sz w:val="28"/>
          <w:szCs w:val="28"/>
        </w:rPr>
        <w:t>10.38%)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、其他單一國家/市場股票(</w:t>
      </w:r>
      <w:r w:rsidR="009576A5" w:rsidRPr="00A22E8F">
        <w:rPr>
          <w:rFonts w:ascii="標楷體" w:eastAsia="標楷體" w:hAnsi="標楷體"/>
          <w:sz w:val="28"/>
          <w:szCs w:val="28"/>
        </w:rPr>
        <w:t>24.97%)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、其他單一國家/市場指數</w:t>
      </w:r>
      <w:r w:rsidR="004C497F">
        <w:rPr>
          <w:rFonts w:ascii="標楷體" w:eastAsia="標楷體" w:hAnsi="標楷體" w:hint="eastAsia"/>
          <w:sz w:val="28"/>
          <w:szCs w:val="28"/>
        </w:rPr>
        <w:t>型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(</w:t>
      </w:r>
      <w:r w:rsidR="009576A5" w:rsidRPr="00A22E8F">
        <w:rPr>
          <w:rFonts w:ascii="標楷體" w:eastAsia="標楷體" w:hAnsi="標楷體"/>
          <w:sz w:val="28"/>
          <w:szCs w:val="28"/>
        </w:rPr>
        <w:t>29.20%)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。在個別基金方面(槓桿型除外)，瀚亞巴西(</w:t>
      </w:r>
      <w:r w:rsidR="009576A5" w:rsidRPr="00A22E8F">
        <w:rPr>
          <w:rFonts w:ascii="標楷體" w:eastAsia="標楷體" w:hAnsi="標楷體"/>
          <w:sz w:val="28"/>
          <w:szCs w:val="28"/>
        </w:rPr>
        <w:t>80.15%)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、元大巴西指數(</w:t>
      </w:r>
      <w:r w:rsidR="009576A5" w:rsidRPr="00A22E8F">
        <w:rPr>
          <w:rFonts w:ascii="標楷體" w:eastAsia="標楷體" w:hAnsi="標楷體"/>
          <w:sz w:val="28"/>
          <w:szCs w:val="28"/>
        </w:rPr>
        <w:t>68.20%)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、野村巴西(</w:t>
      </w:r>
      <w:r w:rsidR="009576A5" w:rsidRPr="00A22E8F">
        <w:rPr>
          <w:rFonts w:ascii="標楷體" w:eastAsia="標楷體" w:hAnsi="標楷體"/>
          <w:sz w:val="28"/>
          <w:szCs w:val="28"/>
        </w:rPr>
        <w:t>58.15%)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t>，前三名全為投資巴西的基金。受惠於黃金及原物料上漲，匯豐黃金及礦業股票基金(</w:t>
      </w:r>
      <w:r w:rsidR="009576A5" w:rsidRPr="00A22E8F">
        <w:rPr>
          <w:rFonts w:ascii="標楷體" w:eastAsia="標楷體" w:hAnsi="標楷體"/>
          <w:sz w:val="28"/>
          <w:szCs w:val="28"/>
        </w:rPr>
        <w:t>46.34%)</w:t>
      </w:r>
      <w:r w:rsidR="009576A5" w:rsidRPr="00A22E8F">
        <w:rPr>
          <w:rFonts w:ascii="標楷體" w:eastAsia="標楷體" w:hAnsi="標楷體" w:hint="eastAsia"/>
          <w:sz w:val="28"/>
          <w:szCs w:val="28"/>
        </w:rPr>
        <w:lastRenderedPageBreak/>
        <w:t>亦有亮麗表現。</w:t>
      </w:r>
    </w:p>
    <w:p w:rsidR="009576A5" w:rsidRPr="00A22E8F" w:rsidRDefault="009576A5" w:rsidP="00AC137B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A22E8F">
        <w:rPr>
          <w:rFonts w:ascii="標楷體" w:eastAsia="標楷體" w:hAnsi="標楷體"/>
          <w:sz w:val="28"/>
          <w:szCs w:val="28"/>
        </w:rPr>
        <w:tab/>
      </w:r>
      <w:r w:rsidR="00E52EBD" w:rsidRPr="00A22E8F">
        <w:rPr>
          <w:rFonts w:ascii="標楷體" w:eastAsia="標楷體" w:hAnsi="標楷體" w:hint="eastAsia"/>
          <w:sz w:val="28"/>
          <w:szCs w:val="28"/>
        </w:rPr>
        <w:t>平衡型基金10月亦有損失，但累積今年前十個月，表現相對出色，例如全球平衡(</w:t>
      </w:r>
      <w:r w:rsidR="00E52EBD" w:rsidRPr="00A22E8F">
        <w:rPr>
          <w:rFonts w:ascii="標楷體" w:eastAsia="標楷體" w:hAnsi="標楷體"/>
          <w:sz w:val="28"/>
          <w:szCs w:val="28"/>
        </w:rPr>
        <w:t>3.04%)</w:t>
      </w:r>
      <w:r w:rsidR="00E52EBD" w:rsidRPr="00A22E8F">
        <w:rPr>
          <w:rFonts w:ascii="標楷體" w:eastAsia="標楷體" w:hAnsi="標楷體" w:hint="eastAsia"/>
          <w:sz w:val="28"/>
          <w:szCs w:val="28"/>
        </w:rPr>
        <w:t>、亞洲平衡(</w:t>
      </w:r>
      <w:r w:rsidR="00E52EBD" w:rsidRPr="00A22E8F">
        <w:rPr>
          <w:rFonts w:ascii="標楷體" w:eastAsia="標楷體" w:hAnsi="標楷體"/>
          <w:sz w:val="28"/>
          <w:szCs w:val="28"/>
        </w:rPr>
        <w:t>5.05%)</w:t>
      </w:r>
      <w:r w:rsidR="00E52EBD" w:rsidRPr="00A22E8F">
        <w:rPr>
          <w:rFonts w:ascii="標楷體" w:eastAsia="標楷體" w:hAnsi="標楷體" w:hint="eastAsia"/>
          <w:sz w:val="28"/>
          <w:szCs w:val="28"/>
        </w:rPr>
        <w:t>、新興市場平衡(</w:t>
      </w:r>
      <w:r w:rsidR="00E52EBD" w:rsidRPr="00A22E8F">
        <w:rPr>
          <w:rFonts w:ascii="標楷體" w:eastAsia="標楷體" w:hAnsi="標楷體"/>
          <w:sz w:val="28"/>
          <w:szCs w:val="28"/>
        </w:rPr>
        <w:t>14.04%)</w:t>
      </w:r>
      <w:r w:rsidR="00E52EBD" w:rsidRPr="00A22E8F">
        <w:rPr>
          <w:rFonts w:ascii="標楷體" w:eastAsia="標楷體" w:hAnsi="標楷體" w:hint="eastAsia"/>
          <w:sz w:val="28"/>
          <w:szCs w:val="28"/>
        </w:rPr>
        <w:t>，皆優於投資相同區域的股票型基金。41檔中國平衡基金(</w:t>
      </w:r>
      <w:r w:rsidR="00E52EBD" w:rsidRPr="00A22E8F">
        <w:rPr>
          <w:rFonts w:ascii="標楷體" w:eastAsia="標楷體" w:hAnsi="標楷體"/>
          <w:sz w:val="28"/>
          <w:szCs w:val="28"/>
        </w:rPr>
        <w:t>0.35%)</w:t>
      </w:r>
      <w:r w:rsidR="00E52EBD" w:rsidRPr="00A22E8F">
        <w:rPr>
          <w:rFonts w:ascii="標楷體" w:eastAsia="標楷體" w:hAnsi="標楷體" w:hint="eastAsia"/>
          <w:sz w:val="28"/>
          <w:szCs w:val="28"/>
        </w:rPr>
        <w:t>，報酬率雖不高，但已遠勝中國股票基金。</w:t>
      </w:r>
    </w:p>
    <w:p w:rsidR="00DD2EBA" w:rsidRPr="006119ED" w:rsidRDefault="00E52EBD" w:rsidP="00AC137B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A22E8F">
        <w:rPr>
          <w:rFonts w:ascii="標楷體" w:eastAsia="標楷體" w:hAnsi="標楷體"/>
          <w:sz w:val="28"/>
          <w:szCs w:val="28"/>
        </w:rPr>
        <w:tab/>
      </w:r>
      <w:r w:rsidR="00DA7822" w:rsidRPr="00A22E8F">
        <w:rPr>
          <w:rFonts w:ascii="標楷體" w:eastAsia="標楷體" w:hAnsi="標楷體" w:hint="eastAsia"/>
          <w:sz w:val="28"/>
          <w:szCs w:val="28"/>
        </w:rPr>
        <w:t>固定收益基金10月漲跌不大，全球投資等級債券基金平均下跌0.68%，美國投資等級債券基金下跌0.40%，是損失較大類別。從年初到10月底，仍維持高收益債優於投資等級債，新興市場債優於成熟市場債的格局。各子類表現依序為新興市場高收益債(</w:t>
      </w:r>
      <w:r w:rsidR="00DA7822" w:rsidRPr="00A22E8F">
        <w:rPr>
          <w:rFonts w:ascii="標楷體" w:eastAsia="標楷體" w:hAnsi="標楷體"/>
          <w:sz w:val="28"/>
          <w:szCs w:val="28"/>
        </w:rPr>
        <w:t>14.40%)</w:t>
      </w:r>
      <w:r w:rsidR="00DA7822" w:rsidRPr="00A22E8F">
        <w:rPr>
          <w:rFonts w:ascii="標楷體" w:eastAsia="標楷體" w:hAnsi="標楷體" w:hint="eastAsia"/>
          <w:sz w:val="28"/>
          <w:szCs w:val="28"/>
        </w:rPr>
        <w:t>、全球型高收益債(</w:t>
      </w:r>
      <w:r w:rsidR="00DA7822" w:rsidRPr="00A22E8F">
        <w:rPr>
          <w:rFonts w:ascii="標楷體" w:eastAsia="標楷體" w:hAnsi="標楷體"/>
          <w:sz w:val="28"/>
          <w:szCs w:val="28"/>
        </w:rPr>
        <w:t>10.66%)</w:t>
      </w:r>
      <w:r w:rsidR="00DA7822" w:rsidRPr="00A22E8F">
        <w:rPr>
          <w:rFonts w:ascii="標楷體" w:eastAsia="標楷體" w:hAnsi="標楷體" w:hint="eastAsia"/>
          <w:sz w:val="28"/>
          <w:szCs w:val="28"/>
        </w:rPr>
        <w:t>、亞洲高收益債(</w:t>
      </w:r>
      <w:r w:rsidR="00DA7822" w:rsidRPr="00A22E8F">
        <w:rPr>
          <w:rFonts w:ascii="標楷體" w:eastAsia="標楷體" w:hAnsi="標楷體"/>
          <w:sz w:val="28"/>
          <w:szCs w:val="28"/>
        </w:rPr>
        <w:t>9.79%)</w:t>
      </w:r>
      <w:r w:rsidR="00DA7822" w:rsidRPr="00A22E8F">
        <w:rPr>
          <w:rFonts w:ascii="標楷體" w:eastAsia="標楷體" w:hAnsi="標楷體" w:hint="eastAsia"/>
          <w:sz w:val="28"/>
          <w:szCs w:val="28"/>
        </w:rPr>
        <w:t>、全球新興市場投資等級債(</w:t>
      </w:r>
      <w:r w:rsidR="00DA7822" w:rsidRPr="00A22E8F">
        <w:rPr>
          <w:rFonts w:ascii="標楷體" w:eastAsia="標楷體" w:hAnsi="標楷體"/>
          <w:sz w:val="28"/>
          <w:szCs w:val="28"/>
        </w:rPr>
        <w:t>7.73%)</w:t>
      </w:r>
      <w:r w:rsidR="00DA7822" w:rsidRPr="00A22E8F">
        <w:rPr>
          <w:rFonts w:ascii="標楷體" w:eastAsia="標楷體" w:hAnsi="標楷體" w:hint="eastAsia"/>
          <w:sz w:val="28"/>
          <w:szCs w:val="28"/>
        </w:rPr>
        <w:t>、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亞洲新興市場投資等級債(</w:t>
      </w:r>
      <w:r w:rsidR="00DD2EBA" w:rsidRPr="00A22E8F">
        <w:rPr>
          <w:rFonts w:ascii="標楷體" w:eastAsia="標楷體" w:hAnsi="標楷體"/>
          <w:sz w:val="28"/>
          <w:szCs w:val="28"/>
        </w:rPr>
        <w:t>7.14%)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、其他投資等級債(</w:t>
      </w:r>
      <w:r w:rsidR="00DD2EBA" w:rsidRPr="00A22E8F">
        <w:rPr>
          <w:rFonts w:ascii="標楷體" w:eastAsia="標楷體" w:hAnsi="標楷體"/>
          <w:sz w:val="28"/>
          <w:szCs w:val="28"/>
        </w:rPr>
        <w:t>4.52%)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、美國投資等級債(</w:t>
      </w:r>
      <w:r w:rsidR="00DD2EBA" w:rsidRPr="00A22E8F">
        <w:rPr>
          <w:rFonts w:ascii="標楷體" w:eastAsia="標楷體" w:hAnsi="標楷體"/>
          <w:sz w:val="28"/>
          <w:szCs w:val="28"/>
        </w:rPr>
        <w:t>4.35%)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、短期型投資等級債(</w:t>
      </w:r>
      <w:r w:rsidR="00DD2EBA" w:rsidRPr="00A22E8F">
        <w:rPr>
          <w:rFonts w:ascii="標楷體" w:eastAsia="標楷體" w:hAnsi="標楷體"/>
          <w:sz w:val="28"/>
          <w:szCs w:val="28"/>
        </w:rPr>
        <w:t>4.11%)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。中國大陸高收益債(</w:t>
      </w:r>
      <w:r w:rsidR="00DD2EBA" w:rsidRPr="00A22E8F">
        <w:rPr>
          <w:rFonts w:ascii="標楷體" w:eastAsia="標楷體" w:hAnsi="標楷體"/>
          <w:sz w:val="28"/>
          <w:szCs w:val="28"/>
        </w:rPr>
        <w:t>3.96%)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、中國大陸投資等級債(</w:t>
      </w:r>
      <w:r w:rsidR="00DD2EBA" w:rsidRPr="00A22E8F">
        <w:rPr>
          <w:rFonts w:ascii="標楷體" w:eastAsia="標楷體" w:hAnsi="標楷體"/>
          <w:sz w:val="28"/>
          <w:szCs w:val="28"/>
        </w:rPr>
        <w:t>3.24%)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、全球投資等級債(</w:t>
      </w:r>
      <w:r w:rsidR="00DD2EBA" w:rsidRPr="00A22E8F">
        <w:rPr>
          <w:rFonts w:ascii="標楷體" w:eastAsia="標楷體" w:hAnsi="標楷體"/>
          <w:sz w:val="28"/>
          <w:szCs w:val="28"/>
        </w:rPr>
        <w:t>1.97%)</w:t>
      </w:r>
      <w:r w:rsidR="00DD2EBA" w:rsidRPr="00A22E8F">
        <w:rPr>
          <w:rFonts w:ascii="標楷體" w:eastAsia="標楷體" w:hAnsi="標楷體" w:hint="eastAsia"/>
          <w:sz w:val="28"/>
          <w:szCs w:val="28"/>
        </w:rPr>
        <w:t>，表現不如其他子類，但仍為正數。</w:t>
      </w:r>
    </w:p>
    <w:sectPr w:rsidR="00DD2EBA" w:rsidRPr="00611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88"/>
    <w:rsid w:val="00045DE6"/>
    <w:rsid w:val="00060310"/>
    <w:rsid w:val="000D497D"/>
    <w:rsid w:val="00117588"/>
    <w:rsid w:val="00351846"/>
    <w:rsid w:val="00497580"/>
    <w:rsid w:val="004C497F"/>
    <w:rsid w:val="006119ED"/>
    <w:rsid w:val="008A142F"/>
    <w:rsid w:val="009076AF"/>
    <w:rsid w:val="009576A5"/>
    <w:rsid w:val="00A22E8F"/>
    <w:rsid w:val="00AA2981"/>
    <w:rsid w:val="00AC137B"/>
    <w:rsid w:val="00DA7822"/>
    <w:rsid w:val="00DD2EBA"/>
    <w:rsid w:val="00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2016-11-07T01:55:00Z</cp:lastPrinted>
  <dcterms:created xsi:type="dcterms:W3CDTF">2016-11-06T12:25:00Z</dcterms:created>
  <dcterms:modified xsi:type="dcterms:W3CDTF">2016-11-07T05:07:00Z</dcterms:modified>
</cp:coreProperties>
</file>