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E" w:rsidRDefault="00B75CCE" w:rsidP="00A279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5CCE">
        <w:rPr>
          <w:rFonts w:ascii="標楷體" w:eastAsia="標楷體" w:hAnsi="標楷體" w:hint="eastAsia"/>
          <w:b/>
          <w:sz w:val="32"/>
          <w:szCs w:val="32"/>
        </w:rPr>
        <w:t>全球股市欣欣向榮，基金績效優異</w:t>
      </w:r>
    </w:p>
    <w:p w:rsidR="00BC46DA" w:rsidRPr="00BC46DA" w:rsidRDefault="00BC46DA" w:rsidP="00A279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C46DA">
        <w:rPr>
          <w:rFonts w:ascii="標楷體" w:eastAsia="標楷體" w:hAnsi="標楷體" w:hint="eastAsia"/>
          <w:b/>
          <w:sz w:val="32"/>
          <w:szCs w:val="32"/>
        </w:rPr>
        <w:t>李存修 邱顯比</w:t>
      </w:r>
    </w:p>
    <w:p w:rsidR="00BC46DA" w:rsidRPr="005C09D4" w:rsidRDefault="00BC46DA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BC46DA">
        <w:rPr>
          <w:rFonts w:ascii="標楷體" w:eastAsia="標楷體" w:hAnsi="標楷體" w:hint="eastAsia"/>
          <w:szCs w:val="24"/>
        </w:rPr>
        <w:t>五月間法國總統大選由馬克宏當選，排除了脫歐</w:t>
      </w:r>
      <w:proofErr w:type="gramStart"/>
      <w:r w:rsidRPr="00BC46DA">
        <w:rPr>
          <w:rFonts w:ascii="標楷體" w:eastAsia="標楷體" w:hAnsi="標楷體" w:hint="eastAsia"/>
          <w:szCs w:val="24"/>
        </w:rPr>
        <w:t>極</w:t>
      </w:r>
      <w:proofErr w:type="gramEnd"/>
      <w:r w:rsidRPr="00BC46DA">
        <w:rPr>
          <w:rFonts w:ascii="標楷體" w:eastAsia="標楷體" w:hAnsi="標楷體" w:hint="eastAsia"/>
          <w:szCs w:val="24"/>
        </w:rPr>
        <w:t>右派當選的疑慮，全球金融市場除了巴西總統泰梅爾爆發封口費風波，罷免、彈劾聲浪四起</w:t>
      </w:r>
      <w:r w:rsidRPr="005C09D4">
        <w:rPr>
          <w:rFonts w:ascii="標楷體" w:eastAsia="標楷體" w:hAnsi="標楷體" w:hint="eastAsia"/>
          <w:szCs w:val="24"/>
        </w:rPr>
        <w:t>，造成股</w:t>
      </w:r>
      <w:proofErr w:type="gramStart"/>
      <w:r w:rsidRPr="005C09D4">
        <w:rPr>
          <w:rFonts w:ascii="標楷體" w:eastAsia="標楷體" w:hAnsi="標楷體" w:hint="eastAsia"/>
          <w:szCs w:val="24"/>
        </w:rPr>
        <w:t>匯</w:t>
      </w:r>
      <w:proofErr w:type="gramEnd"/>
      <w:r w:rsidRPr="005C09D4">
        <w:rPr>
          <w:rFonts w:ascii="標楷體" w:eastAsia="標楷體" w:hAnsi="標楷體" w:hint="eastAsia"/>
          <w:szCs w:val="24"/>
        </w:rPr>
        <w:t>市雙雙重</w:t>
      </w:r>
      <w:proofErr w:type="gramStart"/>
      <w:r w:rsidRPr="005C09D4">
        <w:rPr>
          <w:rFonts w:ascii="標楷體" w:eastAsia="標楷體" w:hAnsi="標楷體" w:hint="eastAsia"/>
          <w:szCs w:val="24"/>
        </w:rPr>
        <w:t>挫</w:t>
      </w:r>
      <w:proofErr w:type="gramEnd"/>
      <w:r w:rsidRPr="005C09D4">
        <w:rPr>
          <w:rFonts w:ascii="標楷體" w:eastAsia="標楷體" w:hAnsi="標楷體" w:hint="eastAsia"/>
          <w:szCs w:val="24"/>
        </w:rPr>
        <w:t>之外，均呈現多頭走勢，英、德、法、美股市屢創新高，油價也</w:t>
      </w:r>
      <w:r w:rsidR="004A6AE4" w:rsidRPr="005C09D4">
        <w:rPr>
          <w:rFonts w:ascii="標楷體" w:eastAsia="標楷體" w:hAnsi="標楷體" w:hint="eastAsia"/>
          <w:szCs w:val="24"/>
        </w:rPr>
        <w:t>曾</w:t>
      </w:r>
      <w:r w:rsidRPr="005C09D4">
        <w:rPr>
          <w:rFonts w:ascii="標楷體" w:eastAsia="標楷體" w:hAnsi="標楷體" w:hint="eastAsia"/>
          <w:szCs w:val="24"/>
        </w:rPr>
        <w:t>回到每桶50美元以上。雖然市場預期FED六月可能再升息一次，但美元指數反呈弱勢，徘徊在97附近，美國十年公債收益率也持穩在2.25%上下。全月MSCI世界指數(含息)上揚了2.3%。</w:t>
      </w:r>
    </w:p>
    <w:p w:rsidR="00BC46DA" w:rsidRPr="005C09D4" w:rsidRDefault="00E42B4E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加權股價指數在</w:t>
      </w:r>
      <w:proofErr w:type="gramStart"/>
      <w:r w:rsidRPr="005C09D4">
        <w:rPr>
          <w:rFonts w:ascii="標楷體" w:eastAsia="標楷體" w:hAnsi="標楷體" w:hint="eastAsia"/>
          <w:szCs w:val="24"/>
        </w:rPr>
        <w:t>五月間站上</w:t>
      </w:r>
      <w:proofErr w:type="gramEnd"/>
      <w:r w:rsidRPr="005C09D4">
        <w:rPr>
          <w:rFonts w:ascii="標楷體" w:eastAsia="標楷體" w:hAnsi="標楷體" w:hint="eastAsia"/>
          <w:szCs w:val="24"/>
        </w:rPr>
        <w:t>了萬點，全月上揚1.71%，年初以來累積</w:t>
      </w:r>
      <w:r w:rsidR="004A6AE4" w:rsidRPr="005C09D4">
        <w:rPr>
          <w:rFonts w:ascii="標楷體" w:eastAsia="標楷體" w:hAnsi="標楷體" w:hint="eastAsia"/>
          <w:szCs w:val="24"/>
        </w:rPr>
        <w:t>已</w:t>
      </w:r>
      <w:r w:rsidRPr="005C09D4">
        <w:rPr>
          <w:rFonts w:ascii="標楷體" w:eastAsia="標楷體" w:hAnsi="標楷體" w:hint="eastAsia"/>
          <w:szCs w:val="24"/>
        </w:rPr>
        <w:t>漲了8.51%，12個月年化標準差降至4.16%的新低點，電子</w:t>
      </w:r>
      <w:r w:rsidR="003357C5" w:rsidRPr="005C09D4">
        <w:rPr>
          <w:rFonts w:ascii="標楷體" w:eastAsia="標楷體" w:hAnsi="標楷體" w:hint="eastAsia"/>
          <w:szCs w:val="24"/>
        </w:rPr>
        <w:t>指數強勢演出，今年已漲13.22%，代表中小型股的OTC指數較為弱勢</w:t>
      </w:r>
      <w:r w:rsidR="004A6AE4" w:rsidRPr="005C09D4">
        <w:rPr>
          <w:rFonts w:ascii="標楷體" w:eastAsia="標楷體" w:hAnsi="標楷體" w:hint="eastAsia"/>
          <w:szCs w:val="24"/>
        </w:rPr>
        <w:t>，</w:t>
      </w:r>
      <w:r w:rsidR="003357C5" w:rsidRPr="005C09D4">
        <w:rPr>
          <w:rFonts w:ascii="標楷體" w:eastAsia="標楷體" w:hAnsi="標楷體" w:hint="eastAsia"/>
          <w:szCs w:val="24"/>
        </w:rPr>
        <w:t>但也有7.7%的進帳。</w:t>
      </w:r>
    </w:p>
    <w:p w:rsidR="003357C5" w:rsidRPr="005C09D4" w:rsidRDefault="003357C5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過去三個月以來166檔投資國內的股票型基金平均上漲了2.55%，其中85%締造了正報酬，近40%擊敗大盤，各</w:t>
      </w:r>
      <w:r w:rsidR="004A6AE4" w:rsidRPr="005C09D4">
        <w:rPr>
          <w:rFonts w:ascii="標楷體" w:eastAsia="標楷體" w:hAnsi="標楷體" w:hint="eastAsia"/>
          <w:szCs w:val="24"/>
        </w:rPr>
        <w:t>細</w:t>
      </w:r>
      <w:r w:rsidRPr="005C09D4">
        <w:rPr>
          <w:rFonts w:ascii="標楷體" w:eastAsia="標楷體" w:hAnsi="標楷體" w:hint="eastAsia"/>
          <w:szCs w:val="24"/>
        </w:rPr>
        <w:t>分類中以科技類最強，平均獲利2.87%，</w:t>
      </w:r>
      <w:proofErr w:type="gramStart"/>
      <w:r w:rsidRPr="005C09D4">
        <w:rPr>
          <w:rFonts w:ascii="標楷體" w:eastAsia="標楷體" w:hAnsi="標楷體" w:hint="eastAsia"/>
          <w:szCs w:val="24"/>
        </w:rPr>
        <w:t>中概型最</w:t>
      </w:r>
      <w:proofErr w:type="gramEnd"/>
      <w:r w:rsidRPr="005C09D4">
        <w:rPr>
          <w:rFonts w:ascii="標楷體" w:eastAsia="標楷體" w:hAnsi="標楷體" w:hint="eastAsia"/>
          <w:szCs w:val="24"/>
        </w:rPr>
        <w:t>弱，只上漲了1.26%，統一龍馬基金一馬當先，三個月就賺了9.03%。</w:t>
      </w:r>
    </w:p>
    <w:p w:rsidR="003357C5" w:rsidRPr="005C09D4" w:rsidRDefault="003357C5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跨國投資的股票型基金也不</w:t>
      </w:r>
      <w:proofErr w:type="gramStart"/>
      <w:r w:rsidRPr="005C09D4">
        <w:rPr>
          <w:rFonts w:ascii="標楷體" w:eastAsia="標楷體" w:hAnsi="標楷體" w:hint="eastAsia"/>
          <w:szCs w:val="24"/>
        </w:rPr>
        <w:t>遑</w:t>
      </w:r>
      <w:proofErr w:type="gramEnd"/>
      <w:r w:rsidRPr="005C09D4">
        <w:rPr>
          <w:rFonts w:ascii="標楷體" w:eastAsia="標楷體" w:hAnsi="標楷體" w:hint="eastAsia"/>
          <w:szCs w:val="24"/>
        </w:rPr>
        <w:t>多讓，388檔基金平均三個月的獲利高達3.65%，反映了全球股市一片多頭的榮景，13檔歐洲區域型基金平均上漲了超過十個百分點，達10.85%，歐元匯率止貶回升也貢獻了一些。亞洲區域型的5.8</w:t>
      </w:r>
      <w:r w:rsidR="00316EA1">
        <w:rPr>
          <w:rFonts w:ascii="標楷體" w:eastAsia="標楷體" w:hAnsi="標楷體" w:hint="eastAsia"/>
          <w:szCs w:val="24"/>
        </w:rPr>
        <w:t>3</w:t>
      </w:r>
      <w:r w:rsidRPr="005C09D4">
        <w:rPr>
          <w:rFonts w:ascii="標楷體" w:eastAsia="標楷體" w:hAnsi="標楷體" w:hint="eastAsia"/>
          <w:szCs w:val="24"/>
        </w:rPr>
        <w:t>%、大中華區</w:t>
      </w:r>
      <w:r w:rsidR="00670BAE" w:rsidRPr="005C09D4">
        <w:rPr>
          <w:rFonts w:ascii="標楷體" w:eastAsia="標楷體" w:hAnsi="標楷體" w:hint="eastAsia"/>
          <w:szCs w:val="24"/>
        </w:rPr>
        <w:t>的4.09%(主要受惠台、港股市回升)也都優於美國的3.78%與新興市場的1.28%。全球資源型受五月底油價回落的影響，三個月來下挫了4.36%，是唯一下跌的類別。</w:t>
      </w:r>
    </w:p>
    <w:p w:rsidR="00670BAE" w:rsidRPr="005C09D4" w:rsidRDefault="00670BAE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各類債券型基金中僅35檔新興市場高收益債平均三個月獲利2.11%，其餘</w:t>
      </w:r>
      <w:proofErr w:type="gramStart"/>
      <w:r w:rsidRPr="005C09D4">
        <w:rPr>
          <w:rFonts w:ascii="標楷體" w:eastAsia="標楷體" w:hAnsi="標楷體" w:hint="eastAsia"/>
          <w:szCs w:val="24"/>
        </w:rPr>
        <w:t>類別均在</w:t>
      </w:r>
      <w:proofErr w:type="gramEnd"/>
      <w:r w:rsidRPr="005C09D4">
        <w:rPr>
          <w:rFonts w:ascii="標楷體" w:eastAsia="標楷體" w:hAnsi="標楷體" w:hint="eastAsia"/>
          <w:szCs w:val="24"/>
        </w:rPr>
        <w:t>1%上下。平衡型基金也以歐洲區域型最強，平均三個月獲利5.42%，其餘</w:t>
      </w:r>
      <w:proofErr w:type="gramStart"/>
      <w:r w:rsidRPr="005C09D4">
        <w:rPr>
          <w:rFonts w:ascii="標楷體" w:eastAsia="標楷體" w:hAnsi="標楷體" w:hint="eastAsia"/>
          <w:szCs w:val="24"/>
        </w:rPr>
        <w:t>類型均在</w:t>
      </w:r>
      <w:proofErr w:type="gramEnd"/>
      <w:r w:rsidRPr="005C09D4">
        <w:rPr>
          <w:rFonts w:ascii="標楷體" w:eastAsia="標楷體" w:hAnsi="標楷體" w:hint="eastAsia"/>
          <w:szCs w:val="24"/>
        </w:rPr>
        <w:t>1.9%至3.4%之間。組合型基金股優於債，平衡組合型之績效介於股</w:t>
      </w:r>
      <w:r w:rsidRPr="005C09D4">
        <w:rPr>
          <w:rFonts w:ascii="標楷體" w:eastAsia="標楷體" w:hAnsi="標楷體" w:hint="eastAsia"/>
          <w:szCs w:val="24"/>
        </w:rPr>
        <w:lastRenderedPageBreak/>
        <w:t>債之間。不動產證券化型基金小漲0.48%，金融資產證券化則下跌1.90%。</w:t>
      </w:r>
    </w:p>
    <w:p w:rsidR="003357C5" w:rsidRPr="005C09D4" w:rsidRDefault="00670BAE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累計今年前五</w:t>
      </w:r>
      <w:proofErr w:type="gramStart"/>
      <w:r w:rsidRPr="005C09D4">
        <w:rPr>
          <w:rFonts w:ascii="標楷體" w:eastAsia="標楷體" w:hAnsi="標楷體" w:hint="eastAsia"/>
          <w:szCs w:val="24"/>
        </w:rPr>
        <w:t>個</w:t>
      </w:r>
      <w:proofErr w:type="gramEnd"/>
      <w:r w:rsidRPr="005C09D4">
        <w:rPr>
          <w:rFonts w:ascii="標楷體" w:eastAsia="標楷體" w:hAnsi="標楷體" w:hint="eastAsia"/>
          <w:szCs w:val="24"/>
        </w:rPr>
        <w:t>月，投資國內的股票型基金平均已漲8.82%，其中98%有正報酬，54%擊敗大盤。華頓台灣基金以19.88%領先群雄，統一中小與</w:t>
      </w:r>
      <w:proofErr w:type="gramStart"/>
      <w:r w:rsidRPr="005C09D4">
        <w:rPr>
          <w:rFonts w:ascii="標楷體" w:eastAsia="標楷體" w:hAnsi="標楷體" w:hint="eastAsia"/>
          <w:szCs w:val="24"/>
        </w:rPr>
        <w:t>瀚</w:t>
      </w:r>
      <w:proofErr w:type="gramEnd"/>
      <w:r w:rsidRPr="005C09D4">
        <w:rPr>
          <w:rFonts w:ascii="標楷體" w:eastAsia="標楷體" w:hAnsi="標楷體" w:hint="eastAsia"/>
          <w:szCs w:val="24"/>
        </w:rPr>
        <w:t>亞電通網以17.59%和16.39%緊追在後。科技型10.93%仍是績效最突出的類別，其後依序是中小型的9.31%與一般型的8.67%，上櫃型雖績效殿後，但也有6.88%的獲利。</w:t>
      </w:r>
    </w:p>
    <w:p w:rsidR="00E42B4E" w:rsidRPr="005C09D4" w:rsidRDefault="00A279D6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跨國投資股票型基金表現也</w:t>
      </w:r>
      <w:r w:rsidR="004A6AE4" w:rsidRPr="005C09D4">
        <w:rPr>
          <w:rFonts w:ascii="標楷體" w:eastAsia="標楷體" w:hAnsi="標楷體" w:hint="eastAsia"/>
          <w:szCs w:val="24"/>
        </w:rPr>
        <w:t>不錯</w:t>
      </w:r>
      <w:r w:rsidRPr="005C09D4">
        <w:rPr>
          <w:rFonts w:ascii="標楷體" w:eastAsia="標楷體" w:hAnsi="標楷體" w:hint="eastAsia"/>
          <w:szCs w:val="24"/>
        </w:rPr>
        <w:t>，年初以來平均獲利6.68%，亞洲區域型與歐洲區域型之績效最亮麗，分別有10.6</w:t>
      </w:r>
      <w:r w:rsidR="00316EA1">
        <w:rPr>
          <w:rFonts w:ascii="標楷體" w:eastAsia="標楷體" w:hAnsi="標楷體" w:hint="eastAsia"/>
          <w:szCs w:val="24"/>
        </w:rPr>
        <w:t>8</w:t>
      </w:r>
      <w:bookmarkStart w:id="0" w:name="_GoBack"/>
      <w:bookmarkEnd w:id="0"/>
      <w:r w:rsidRPr="005C09D4">
        <w:rPr>
          <w:rFonts w:ascii="標楷體" w:eastAsia="標楷體" w:hAnsi="標楷體" w:hint="eastAsia"/>
          <w:szCs w:val="24"/>
        </w:rPr>
        <w:t>%與9.71%的報酬，大中華區的7.93%、美國的6.17%、日本的5.95%、中國大陸的5.48%，也都頗有斬獲。若不計槓桿型ETF，群益印度中小(美元)年初以來已漲了28%，復華</w:t>
      </w:r>
      <w:proofErr w:type="gramStart"/>
      <w:r w:rsidRPr="005C09D4">
        <w:rPr>
          <w:rFonts w:ascii="標楷體" w:eastAsia="標楷體" w:hAnsi="標楷體" w:hint="eastAsia"/>
          <w:szCs w:val="24"/>
        </w:rPr>
        <w:t>全球物聯網</w:t>
      </w:r>
      <w:proofErr w:type="gramEnd"/>
      <w:r w:rsidRPr="005C09D4">
        <w:rPr>
          <w:rFonts w:ascii="標楷體" w:eastAsia="標楷體" w:hAnsi="標楷體" w:hint="eastAsia"/>
          <w:szCs w:val="24"/>
        </w:rPr>
        <w:t>科技基金23.37%</w:t>
      </w:r>
      <w:r w:rsidR="00A178AA" w:rsidRPr="005C09D4">
        <w:rPr>
          <w:rFonts w:ascii="標楷體" w:eastAsia="標楷體" w:hAnsi="標楷體" w:hint="eastAsia"/>
          <w:szCs w:val="24"/>
        </w:rPr>
        <w:t>、</w:t>
      </w:r>
      <w:r w:rsidRPr="005C09D4">
        <w:rPr>
          <w:rFonts w:ascii="標楷體" w:eastAsia="標楷體" w:hAnsi="標楷體" w:hint="eastAsia"/>
          <w:szCs w:val="24"/>
        </w:rPr>
        <w:t>國泰中國內需增長(美元I)23.20%</w:t>
      </w:r>
      <w:r w:rsidR="00A178AA" w:rsidRPr="005C09D4">
        <w:rPr>
          <w:rFonts w:ascii="標楷體" w:eastAsia="標楷體" w:hAnsi="標楷體" w:hint="eastAsia"/>
          <w:szCs w:val="24"/>
        </w:rPr>
        <w:t>，績效也極突出。</w:t>
      </w:r>
    </w:p>
    <w:p w:rsidR="00A178AA" w:rsidRPr="005C09D4" w:rsidRDefault="003D0A44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平衡型基金中投資國內一般股票型與投資歐洲區域型的基金平均</w:t>
      </w:r>
      <w:proofErr w:type="gramStart"/>
      <w:r w:rsidRPr="005C09D4">
        <w:rPr>
          <w:rFonts w:ascii="標楷體" w:eastAsia="標楷體" w:hAnsi="標楷體" w:hint="eastAsia"/>
          <w:szCs w:val="24"/>
        </w:rPr>
        <w:t>均</w:t>
      </w:r>
      <w:proofErr w:type="gramEnd"/>
      <w:r w:rsidRPr="005C09D4">
        <w:rPr>
          <w:rFonts w:ascii="標楷體" w:eastAsia="標楷體" w:hAnsi="標楷體" w:hint="eastAsia"/>
          <w:szCs w:val="24"/>
        </w:rPr>
        <w:t>有7.58%，不相上下，新興市場平衡型也有6.88%。聯邦金鑽平衡年初以來獲利15.68%、華南永昌多重資產入</w:t>
      </w:r>
      <w:r w:rsidR="004A6AE4" w:rsidRPr="005C09D4">
        <w:rPr>
          <w:rFonts w:ascii="標楷體" w:eastAsia="標楷體" w:hAnsi="標楷體" w:hint="eastAsia"/>
          <w:szCs w:val="24"/>
        </w:rPr>
        <w:t>息</w:t>
      </w:r>
      <w:r w:rsidRPr="005C09D4">
        <w:rPr>
          <w:rFonts w:ascii="標楷體" w:eastAsia="標楷體" w:hAnsi="標楷體" w:hint="eastAsia"/>
          <w:szCs w:val="24"/>
        </w:rPr>
        <w:t>平衡(</w:t>
      </w:r>
      <w:proofErr w:type="gramStart"/>
      <w:r w:rsidRPr="005C09D4">
        <w:rPr>
          <w:rFonts w:ascii="標楷體" w:eastAsia="標楷體" w:hAnsi="標楷體" w:hint="eastAsia"/>
          <w:szCs w:val="24"/>
        </w:rPr>
        <w:t>月配美元</w:t>
      </w:r>
      <w:proofErr w:type="gramEnd"/>
      <w:r w:rsidRPr="005C09D4">
        <w:rPr>
          <w:rFonts w:ascii="標楷體" w:eastAsia="標楷體" w:hAnsi="標楷體" w:hint="eastAsia"/>
          <w:szCs w:val="24"/>
        </w:rPr>
        <w:t>D)14.94%，高居前二名。</w:t>
      </w:r>
    </w:p>
    <w:p w:rsidR="003D0A44" w:rsidRPr="005C09D4" w:rsidRDefault="003D0A44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債券型基金年初以來之績效依然是高收益債優於投資等級債，其中又以新興市場高收益債的4.50%與全球高收益債的3.83%最佳，投資</w:t>
      </w:r>
      <w:proofErr w:type="gramStart"/>
      <w:r w:rsidRPr="005C09D4">
        <w:rPr>
          <w:rFonts w:ascii="標楷體" w:eastAsia="標楷體" w:hAnsi="標楷體" w:hint="eastAsia"/>
          <w:szCs w:val="24"/>
        </w:rPr>
        <w:t>等級債中</w:t>
      </w:r>
      <w:proofErr w:type="gramEnd"/>
      <w:r w:rsidRPr="005C09D4">
        <w:rPr>
          <w:rFonts w:ascii="標楷體" w:eastAsia="標楷體" w:hAnsi="標楷體" w:hint="eastAsia"/>
          <w:szCs w:val="24"/>
        </w:rPr>
        <w:t>，也只有新興市場能獲利2%以上，但富邦全球投資等級債(B類，美元)卻繳出了14.32%的成績單。</w:t>
      </w:r>
    </w:p>
    <w:p w:rsidR="003D0A44" w:rsidRDefault="003D0A44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C09D4">
        <w:rPr>
          <w:rFonts w:ascii="標楷體" w:eastAsia="標楷體" w:hAnsi="標楷體" w:hint="eastAsia"/>
          <w:szCs w:val="24"/>
        </w:rPr>
        <w:t>債券組合型基金之表現正好和債券型基金相反，投資等級組合型平均3.52%，優於高收益組合型的1.93%，但仍比不上新興市場股票型的6.56%。但所有組合型基金中卻以平衡組合型</w:t>
      </w:r>
      <w:proofErr w:type="gramStart"/>
      <w:r w:rsidRPr="005C09D4">
        <w:rPr>
          <w:rFonts w:ascii="標楷體" w:eastAsia="標楷體" w:hAnsi="標楷體" w:hint="eastAsia"/>
          <w:szCs w:val="24"/>
        </w:rPr>
        <w:t>的聯博收益</w:t>
      </w:r>
      <w:proofErr w:type="gramEnd"/>
      <w:r w:rsidRPr="005C09D4">
        <w:rPr>
          <w:rFonts w:ascii="標楷體" w:eastAsia="標楷體" w:hAnsi="標楷體" w:hint="eastAsia"/>
          <w:szCs w:val="24"/>
        </w:rPr>
        <w:t>傘型之多元資產收益組合型(南非幣)(11.59%)與群益環球金綻雙喜A(累積、南非幣)(10.72%)最佳。</w:t>
      </w:r>
    </w:p>
    <w:p w:rsidR="003D0A44" w:rsidRPr="00A178AA" w:rsidRDefault="003D0A44" w:rsidP="00A279D6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42檔不動產證券化基金的績效差異性頗大，元大全球不動產(美元)獲利9.27%，但全體平均卻只有1.12%。金融資產證券化基金乏善可陳，年初以來已下跌5.22%。</w:t>
      </w:r>
    </w:p>
    <w:sectPr w:rsidR="003D0A44" w:rsidRPr="00A178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A"/>
    <w:rsid w:val="00316EA1"/>
    <w:rsid w:val="003357C5"/>
    <w:rsid w:val="003D0A44"/>
    <w:rsid w:val="004A6AE4"/>
    <w:rsid w:val="005C09D4"/>
    <w:rsid w:val="00670BAE"/>
    <w:rsid w:val="00A178AA"/>
    <w:rsid w:val="00A279D6"/>
    <w:rsid w:val="00B75CCE"/>
    <w:rsid w:val="00BC46DA"/>
    <w:rsid w:val="00C93B52"/>
    <w:rsid w:val="00E42B4E"/>
    <w:rsid w:val="00E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Tsunsiou</dc:creator>
  <cp:lastModifiedBy>Tsunsiou</cp:lastModifiedBy>
  <cp:revision>9</cp:revision>
  <dcterms:created xsi:type="dcterms:W3CDTF">2017-06-03T05:32:00Z</dcterms:created>
  <dcterms:modified xsi:type="dcterms:W3CDTF">2017-06-06T09:43:00Z</dcterms:modified>
</cp:coreProperties>
</file>