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5E" w:rsidRDefault="00731E8B" w:rsidP="00117588">
      <w:pPr>
        <w:jc w:val="center"/>
        <w:rPr>
          <w:rFonts w:ascii="標楷體" w:eastAsia="標楷體" w:hAnsi="標楷體"/>
          <w:b/>
          <w:sz w:val="32"/>
          <w:szCs w:val="32"/>
        </w:rPr>
      </w:pPr>
      <w:r>
        <w:rPr>
          <w:rFonts w:ascii="標楷體" w:eastAsia="標楷體" w:hAnsi="標楷體" w:hint="eastAsia"/>
          <w:b/>
          <w:sz w:val="32"/>
          <w:szCs w:val="32"/>
        </w:rPr>
        <w:t>二月基金持續反彈</w:t>
      </w:r>
    </w:p>
    <w:p w:rsidR="00117588" w:rsidRDefault="00117588" w:rsidP="00117588">
      <w:pPr>
        <w:jc w:val="center"/>
        <w:rPr>
          <w:rFonts w:ascii="標楷體" w:eastAsia="標楷體" w:hAnsi="標楷體"/>
          <w:b/>
          <w:sz w:val="32"/>
          <w:szCs w:val="32"/>
        </w:rPr>
      </w:pPr>
      <w:r>
        <w:rPr>
          <w:rFonts w:ascii="標楷體" w:eastAsia="標楷體" w:hAnsi="標楷體" w:hint="eastAsia"/>
          <w:b/>
          <w:sz w:val="32"/>
          <w:szCs w:val="32"/>
        </w:rPr>
        <w:t>邱顯比 李存修</w:t>
      </w:r>
    </w:p>
    <w:p w:rsidR="00731E8B" w:rsidRDefault="00090723" w:rsidP="00731E8B">
      <w:pPr>
        <w:spacing w:beforeLines="50" w:before="180" w:afterLines="50" w:after="180"/>
        <w:rPr>
          <w:rFonts w:ascii="Source Sans Pro" w:eastAsia="標楷體" w:hAnsi="Source Sans Pro" w:hint="eastAsia"/>
          <w:sz w:val="28"/>
          <w:szCs w:val="28"/>
        </w:rPr>
      </w:pPr>
      <w:r w:rsidRPr="00090723">
        <w:rPr>
          <w:rFonts w:ascii="標楷體" w:eastAsia="標楷體" w:hAnsi="標楷體" w:hint="eastAsia"/>
          <w:sz w:val="28"/>
          <w:szCs w:val="28"/>
        </w:rPr>
        <w:t xml:space="preserve">　　</w:t>
      </w:r>
      <w:r w:rsidR="00731E8B">
        <w:rPr>
          <w:rFonts w:ascii="標楷體" w:eastAsia="標楷體" w:hAnsi="標楷體" w:hint="eastAsia"/>
          <w:sz w:val="28"/>
          <w:szCs w:val="28"/>
        </w:rPr>
        <w:t>延續全球股市一月份的好表現，二月持續反彈漲勢</w:t>
      </w:r>
      <w:r w:rsidR="00731E8B">
        <w:rPr>
          <w:rFonts w:ascii="Source Sans Pro" w:eastAsia="標楷體" w:hAnsi="Source Sans Pro"/>
          <w:sz w:val="28"/>
          <w:szCs w:val="28"/>
        </w:rPr>
        <w:t>。</w:t>
      </w:r>
      <w:r w:rsidR="00731E8B">
        <w:rPr>
          <w:rFonts w:ascii="Source Sans Pro" w:eastAsia="標楷體" w:hAnsi="Source Sans Pro" w:hint="eastAsia"/>
          <w:sz w:val="28"/>
          <w:szCs w:val="28"/>
        </w:rPr>
        <w:t>一月底聯準會維持利率不變並暗示利率已達中性水準，並考慮下半年停止縮表</w:t>
      </w:r>
      <w:r w:rsidR="00731E8B">
        <w:rPr>
          <w:rFonts w:ascii="Source Sans Pro" w:eastAsia="標楷體" w:hAnsi="Source Sans Pro"/>
          <w:sz w:val="28"/>
          <w:szCs w:val="28"/>
        </w:rPr>
        <w:t>。</w:t>
      </w:r>
      <w:r w:rsidR="00731E8B">
        <w:rPr>
          <w:rFonts w:ascii="Source Sans Pro" w:eastAsia="標楷體" w:hAnsi="Source Sans Pro" w:hint="eastAsia"/>
          <w:sz w:val="28"/>
          <w:szCs w:val="28"/>
        </w:rPr>
        <w:t>聯準會主席及多數委員開始重視緊縮貨幣政策對經濟及股市的影響，不再堅持原來的升息縮表路徑，讓市場大大鬆了一口氣，另外科技股的好表現也讓市場氣氛轉佳</w:t>
      </w:r>
      <w:r w:rsidR="00731E8B">
        <w:rPr>
          <w:rFonts w:ascii="Source Sans Pro" w:eastAsia="標楷體" w:hAnsi="Source Sans Pro"/>
          <w:sz w:val="28"/>
          <w:szCs w:val="28"/>
        </w:rPr>
        <w:t>。</w:t>
      </w:r>
      <w:r w:rsidR="00731E8B">
        <w:rPr>
          <w:rFonts w:ascii="Source Sans Pro" w:eastAsia="標楷體" w:hAnsi="Source Sans Pro" w:hint="eastAsia"/>
          <w:sz w:val="28"/>
          <w:szCs w:val="28"/>
        </w:rPr>
        <w:t>中美貿易談判在二月續有重大進展，基本上排除大規模貿易戰的危機也激勵了股市，特別是去年災情慘重</w:t>
      </w:r>
      <w:r w:rsidR="0086012B">
        <w:rPr>
          <w:rFonts w:ascii="Source Sans Pro" w:eastAsia="標楷體" w:hAnsi="Source Sans Pro" w:hint="eastAsia"/>
          <w:sz w:val="28"/>
          <w:szCs w:val="28"/>
        </w:rPr>
        <w:t>而今年利多頻傳</w:t>
      </w:r>
      <w:r w:rsidR="00731E8B">
        <w:rPr>
          <w:rFonts w:ascii="Source Sans Pro" w:eastAsia="標楷體" w:hAnsi="Source Sans Pro" w:hint="eastAsia"/>
          <w:sz w:val="28"/>
          <w:szCs w:val="28"/>
        </w:rPr>
        <w:t>的中國股市</w:t>
      </w:r>
      <w:r w:rsidR="00731E8B">
        <w:rPr>
          <w:rFonts w:ascii="Source Sans Pro" w:eastAsia="標楷體" w:hAnsi="Source Sans Pro"/>
          <w:sz w:val="28"/>
          <w:szCs w:val="28"/>
        </w:rPr>
        <w:t>。</w:t>
      </w:r>
      <w:r w:rsidR="00731E8B">
        <w:rPr>
          <w:rFonts w:ascii="Source Sans Pro" w:eastAsia="標楷體" w:hAnsi="Source Sans Pro" w:hint="eastAsia"/>
          <w:sz w:val="28"/>
          <w:szCs w:val="28"/>
        </w:rPr>
        <w:t>上証指數二月上漲</w:t>
      </w:r>
      <w:r w:rsidR="00563AF4">
        <w:rPr>
          <w:rFonts w:ascii="Source Sans Pro" w:eastAsia="標楷體" w:hAnsi="Source Sans Pro" w:hint="eastAsia"/>
          <w:sz w:val="28"/>
          <w:szCs w:val="28"/>
        </w:rPr>
        <w:t>13.79</w:t>
      </w:r>
      <w:r w:rsidR="00731E8B">
        <w:rPr>
          <w:rFonts w:ascii="Source Sans Pro" w:eastAsia="標楷體" w:hAnsi="Source Sans Pro" w:hint="eastAsia"/>
          <w:sz w:val="28"/>
          <w:szCs w:val="28"/>
        </w:rPr>
        <w:t>%</w:t>
      </w:r>
      <w:r w:rsidR="00731E8B">
        <w:rPr>
          <w:rFonts w:ascii="Source Sans Pro" w:eastAsia="標楷體" w:hAnsi="Source Sans Pro" w:hint="eastAsia"/>
          <w:sz w:val="28"/>
          <w:szCs w:val="28"/>
        </w:rPr>
        <w:t>，一</w:t>
      </w:r>
      <w:r w:rsidR="00731E8B">
        <w:rPr>
          <w:rFonts w:ascii="Source Sans Pro" w:eastAsia="標楷體" w:hAnsi="Source Sans Pro"/>
          <w:sz w:val="28"/>
          <w:szCs w:val="28"/>
        </w:rPr>
        <w:t>、</w:t>
      </w:r>
      <w:r w:rsidR="00731E8B">
        <w:rPr>
          <w:rFonts w:ascii="Source Sans Pro" w:eastAsia="標楷體" w:hAnsi="Source Sans Pro" w:hint="eastAsia"/>
          <w:sz w:val="28"/>
          <w:szCs w:val="28"/>
        </w:rPr>
        <w:t>二月合計上漲</w:t>
      </w:r>
      <w:r w:rsidR="00563AF4">
        <w:rPr>
          <w:rFonts w:ascii="Source Sans Pro" w:eastAsia="標楷體" w:hAnsi="Source Sans Pro" w:hint="eastAsia"/>
          <w:sz w:val="28"/>
          <w:szCs w:val="28"/>
        </w:rPr>
        <w:t>17.</w:t>
      </w:r>
      <w:r w:rsidR="00DF1523">
        <w:rPr>
          <w:rFonts w:ascii="Source Sans Pro" w:eastAsia="標楷體" w:hAnsi="Source Sans Pro" w:hint="eastAsia"/>
          <w:sz w:val="28"/>
          <w:szCs w:val="28"/>
        </w:rPr>
        <w:t>9</w:t>
      </w:r>
      <w:r w:rsidR="00563AF4">
        <w:rPr>
          <w:rFonts w:ascii="Source Sans Pro" w:eastAsia="標楷體" w:hAnsi="Source Sans Pro" w:hint="eastAsia"/>
          <w:sz w:val="28"/>
          <w:szCs w:val="28"/>
        </w:rPr>
        <w:t>3</w:t>
      </w:r>
      <w:r w:rsidR="00731E8B">
        <w:rPr>
          <w:rFonts w:ascii="Source Sans Pro" w:eastAsia="標楷體" w:hAnsi="Source Sans Pro" w:hint="eastAsia"/>
          <w:sz w:val="28"/>
          <w:szCs w:val="28"/>
        </w:rPr>
        <w:t>%</w:t>
      </w:r>
      <w:r w:rsidR="00731E8B">
        <w:rPr>
          <w:rFonts w:ascii="Source Sans Pro" w:eastAsia="標楷體" w:hAnsi="Source Sans Pro"/>
          <w:sz w:val="28"/>
          <w:szCs w:val="28"/>
        </w:rPr>
        <w:t>。</w:t>
      </w:r>
      <w:r w:rsidR="00731E8B">
        <w:rPr>
          <w:rFonts w:ascii="Source Sans Pro" w:eastAsia="標楷體" w:hAnsi="Source Sans Pro" w:hint="eastAsia"/>
          <w:sz w:val="28"/>
          <w:szCs w:val="28"/>
        </w:rPr>
        <w:t>美國</w:t>
      </w:r>
      <w:r w:rsidR="00731E8B">
        <w:rPr>
          <w:rFonts w:ascii="Source Sans Pro" w:eastAsia="標楷體" w:hAnsi="Source Sans Pro" w:hint="eastAsia"/>
          <w:sz w:val="28"/>
          <w:szCs w:val="28"/>
        </w:rPr>
        <w:t>S&amp;P 500</w:t>
      </w:r>
      <w:r w:rsidR="00731E8B">
        <w:rPr>
          <w:rFonts w:ascii="Source Sans Pro" w:eastAsia="標楷體" w:hAnsi="Source Sans Pro" w:hint="eastAsia"/>
          <w:sz w:val="28"/>
          <w:szCs w:val="28"/>
        </w:rPr>
        <w:t>指數二月上漲</w:t>
      </w:r>
      <w:r w:rsidR="00731E8B">
        <w:rPr>
          <w:rFonts w:ascii="Source Sans Pro" w:eastAsia="標楷體" w:hAnsi="Source Sans Pro" w:hint="eastAsia"/>
          <w:sz w:val="28"/>
          <w:szCs w:val="28"/>
        </w:rPr>
        <w:t>2.97%</w:t>
      </w:r>
      <w:r w:rsidR="00731E8B">
        <w:rPr>
          <w:rFonts w:ascii="Source Sans Pro" w:eastAsia="標楷體" w:hAnsi="Source Sans Pro" w:hint="eastAsia"/>
          <w:sz w:val="28"/>
          <w:szCs w:val="28"/>
        </w:rPr>
        <w:t>，一</w:t>
      </w:r>
      <w:r w:rsidR="00731E8B">
        <w:rPr>
          <w:rFonts w:ascii="Source Sans Pro" w:eastAsia="標楷體" w:hAnsi="Source Sans Pro"/>
          <w:sz w:val="28"/>
          <w:szCs w:val="28"/>
        </w:rPr>
        <w:t>、</w:t>
      </w:r>
      <w:r w:rsidR="00731E8B">
        <w:rPr>
          <w:rFonts w:ascii="Source Sans Pro" w:eastAsia="標楷體" w:hAnsi="Source Sans Pro" w:hint="eastAsia"/>
          <w:sz w:val="28"/>
          <w:szCs w:val="28"/>
        </w:rPr>
        <w:t>二月合計上漲</w:t>
      </w:r>
      <w:r w:rsidR="00731E8B">
        <w:rPr>
          <w:rFonts w:ascii="Source Sans Pro" w:eastAsia="標楷體" w:hAnsi="Source Sans Pro" w:hint="eastAsia"/>
          <w:sz w:val="28"/>
          <w:szCs w:val="28"/>
        </w:rPr>
        <w:t>11.08%</w:t>
      </w:r>
      <w:r w:rsidR="00731E8B">
        <w:rPr>
          <w:rFonts w:ascii="Source Sans Pro" w:eastAsia="標楷體" w:hAnsi="Source Sans Pro"/>
          <w:sz w:val="28"/>
          <w:szCs w:val="28"/>
        </w:rPr>
        <w:t>。</w:t>
      </w:r>
      <w:r w:rsidR="00731E8B">
        <w:rPr>
          <w:rFonts w:ascii="Source Sans Pro" w:eastAsia="標楷體" w:hAnsi="Source Sans Pro" w:hint="eastAsia"/>
          <w:sz w:val="28"/>
          <w:szCs w:val="28"/>
        </w:rPr>
        <w:t>MSCI</w:t>
      </w:r>
      <w:r w:rsidR="00731E8B">
        <w:rPr>
          <w:rFonts w:ascii="Source Sans Pro" w:eastAsia="標楷體" w:hAnsi="Source Sans Pro" w:hint="eastAsia"/>
          <w:sz w:val="28"/>
          <w:szCs w:val="28"/>
        </w:rPr>
        <w:t>世界指數二月上漲</w:t>
      </w:r>
      <w:r w:rsidR="00731E8B">
        <w:rPr>
          <w:rFonts w:ascii="Source Sans Pro" w:eastAsia="標楷體" w:hAnsi="Source Sans Pro" w:hint="eastAsia"/>
          <w:sz w:val="28"/>
          <w:szCs w:val="28"/>
        </w:rPr>
        <w:t>2.72%</w:t>
      </w:r>
      <w:r w:rsidR="00731E8B">
        <w:rPr>
          <w:rFonts w:ascii="Source Sans Pro" w:eastAsia="標楷體" w:hAnsi="Source Sans Pro" w:hint="eastAsia"/>
          <w:sz w:val="28"/>
          <w:szCs w:val="28"/>
        </w:rPr>
        <w:t>，一</w:t>
      </w:r>
      <w:r w:rsidR="00731E8B">
        <w:rPr>
          <w:rFonts w:ascii="Source Sans Pro" w:eastAsia="標楷體" w:hAnsi="Source Sans Pro"/>
          <w:sz w:val="28"/>
          <w:szCs w:val="28"/>
        </w:rPr>
        <w:t>、</w:t>
      </w:r>
      <w:r w:rsidR="00731E8B">
        <w:rPr>
          <w:rFonts w:ascii="Source Sans Pro" w:eastAsia="標楷體" w:hAnsi="Source Sans Pro" w:hint="eastAsia"/>
          <w:sz w:val="28"/>
          <w:szCs w:val="28"/>
        </w:rPr>
        <w:t>二月合計上漲</w:t>
      </w:r>
      <w:r w:rsidR="00731E8B">
        <w:rPr>
          <w:rFonts w:ascii="Source Sans Pro" w:eastAsia="標楷體" w:hAnsi="Source Sans Pro" w:hint="eastAsia"/>
          <w:sz w:val="28"/>
          <w:szCs w:val="28"/>
        </w:rPr>
        <w:t>10.86%</w:t>
      </w:r>
      <w:r w:rsidR="00731E8B">
        <w:rPr>
          <w:rFonts w:ascii="Source Sans Pro" w:eastAsia="標楷體" w:hAnsi="Source Sans Pro"/>
          <w:sz w:val="28"/>
          <w:szCs w:val="28"/>
        </w:rPr>
        <w:t>。</w:t>
      </w:r>
      <w:r w:rsidR="00731E8B">
        <w:rPr>
          <w:rFonts w:ascii="Source Sans Pro" w:eastAsia="標楷體" w:hAnsi="Source Sans Pro" w:hint="eastAsia"/>
          <w:sz w:val="28"/>
          <w:szCs w:val="28"/>
        </w:rPr>
        <w:t>台灣加權股價指數二月份表現不錯，上漲</w:t>
      </w:r>
      <w:r w:rsidR="00731E8B">
        <w:rPr>
          <w:rFonts w:ascii="Source Sans Pro" w:eastAsia="標楷體" w:hAnsi="Source Sans Pro" w:hint="eastAsia"/>
          <w:sz w:val="28"/>
          <w:szCs w:val="28"/>
        </w:rPr>
        <w:t>4.6%</w:t>
      </w:r>
      <w:r w:rsidR="00731E8B">
        <w:rPr>
          <w:rFonts w:ascii="Source Sans Pro" w:eastAsia="標楷體" w:hAnsi="Source Sans Pro" w:hint="eastAsia"/>
          <w:sz w:val="28"/>
          <w:szCs w:val="28"/>
        </w:rPr>
        <w:t>，但因一月份漲幅落後全球股市，一</w:t>
      </w:r>
      <w:r w:rsidR="00731E8B">
        <w:rPr>
          <w:rFonts w:ascii="Source Sans Pro" w:eastAsia="標楷體" w:hAnsi="Source Sans Pro"/>
          <w:sz w:val="28"/>
          <w:szCs w:val="28"/>
        </w:rPr>
        <w:t>、</w:t>
      </w:r>
      <w:r w:rsidR="00731E8B">
        <w:rPr>
          <w:rFonts w:ascii="Source Sans Pro" w:eastAsia="標楷體" w:hAnsi="Source Sans Pro" w:hint="eastAsia"/>
          <w:sz w:val="28"/>
          <w:szCs w:val="28"/>
        </w:rPr>
        <w:t>二月合計上漲</w:t>
      </w:r>
      <w:r w:rsidR="00731E8B">
        <w:rPr>
          <w:rFonts w:ascii="Source Sans Pro" w:eastAsia="標楷體" w:hAnsi="Source Sans Pro" w:hint="eastAsia"/>
          <w:sz w:val="28"/>
          <w:szCs w:val="28"/>
        </w:rPr>
        <w:t>6.8%</w:t>
      </w:r>
      <w:r w:rsidR="00731E8B">
        <w:rPr>
          <w:rFonts w:ascii="Source Sans Pro" w:eastAsia="標楷體" w:hAnsi="Source Sans Pro" w:hint="eastAsia"/>
          <w:sz w:val="28"/>
          <w:szCs w:val="28"/>
        </w:rPr>
        <w:t>，仍遜於全球股市；</w:t>
      </w:r>
      <w:r w:rsidR="00731E8B">
        <w:rPr>
          <w:rFonts w:ascii="Source Sans Pro" w:eastAsia="標楷體" w:hAnsi="Source Sans Pro" w:hint="eastAsia"/>
          <w:sz w:val="28"/>
          <w:szCs w:val="28"/>
        </w:rPr>
        <w:t>OTC</w:t>
      </w:r>
      <w:r w:rsidR="00731E8B">
        <w:rPr>
          <w:rFonts w:ascii="Source Sans Pro" w:eastAsia="標楷體" w:hAnsi="Source Sans Pro" w:hint="eastAsia"/>
          <w:sz w:val="28"/>
          <w:szCs w:val="28"/>
        </w:rPr>
        <w:t>指數從年初以來上漲</w:t>
      </w:r>
      <w:r w:rsidR="00731E8B">
        <w:rPr>
          <w:rFonts w:ascii="Source Sans Pro" w:eastAsia="標楷體" w:hAnsi="Source Sans Pro" w:hint="eastAsia"/>
          <w:sz w:val="28"/>
          <w:szCs w:val="28"/>
        </w:rPr>
        <w:t>11.21%</w:t>
      </w:r>
      <w:r w:rsidR="00731E8B">
        <w:rPr>
          <w:rFonts w:ascii="Source Sans Pro" w:eastAsia="標楷體" w:hAnsi="Source Sans Pro" w:hint="eastAsia"/>
          <w:sz w:val="28"/>
          <w:szCs w:val="28"/>
        </w:rPr>
        <w:t>，顯示中小型股這段時間更為活躍</w:t>
      </w:r>
      <w:r w:rsidR="00731E8B">
        <w:rPr>
          <w:rFonts w:ascii="Source Sans Pro" w:eastAsia="標楷體" w:hAnsi="Source Sans Pro"/>
          <w:sz w:val="28"/>
          <w:szCs w:val="28"/>
        </w:rPr>
        <w:t>。</w:t>
      </w:r>
      <w:r w:rsidR="00731E8B">
        <w:rPr>
          <w:rFonts w:ascii="Source Sans Pro" w:eastAsia="標楷體" w:hAnsi="Source Sans Pro" w:hint="eastAsia"/>
          <w:sz w:val="28"/>
          <w:szCs w:val="28"/>
        </w:rPr>
        <w:t xml:space="preserve">　</w:t>
      </w:r>
    </w:p>
    <w:p w:rsidR="00DF1523" w:rsidRDefault="00DF1523" w:rsidP="00731E8B">
      <w:pPr>
        <w:spacing w:beforeLines="50" w:before="180" w:afterLines="50" w:after="180"/>
        <w:rPr>
          <w:rFonts w:ascii="Source Sans Pro" w:eastAsia="標楷體" w:hAnsi="Source Sans Pro" w:hint="eastAsia"/>
          <w:sz w:val="28"/>
          <w:szCs w:val="28"/>
        </w:rPr>
      </w:pPr>
      <w:r>
        <w:rPr>
          <w:rFonts w:ascii="Source Sans Pro" w:eastAsia="標楷體" w:hAnsi="Source Sans Pro" w:hint="eastAsia"/>
          <w:sz w:val="28"/>
          <w:szCs w:val="28"/>
        </w:rPr>
        <w:t xml:space="preserve">　　</w:t>
      </w:r>
      <w:r>
        <w:rPr>
          <w:rFonts w:ascii="Source Sans Pro" w:eastAsia="標楷體" w:hAnsi="Source Sans Pro" w:hint="eastAsia"/>
          <w:sz w:val="28"/>
          <w:szCs w:val="28"/>
        </w:rPr>
        <w:t>180</w:t>
      </w:r>
      <w:r>
        <w:rPr>
          <w:rFonts w:ascii="Source Sans Pro" w:eastAsia="標楷體" w:hAnsi="Source Sans Pro" w:hint="eastAsia"/>
          <w:sz w:val="28"/>
          <w:szCs w:val="28"/>
        </w:rPr>
        <w:t>檔台股基金年初至二月底平均報酬率</w:t>
      </w:r>
      <w:r>
        <w:rPr>
          <w:rFonts w:ascii="Source Sans Pro" w:eastAsia="標楷體" w:hAnsi="Source Sans Pro" w:hint="eastAsia"/>
          <w:sz w:val="28"/>
          <w:szCs w:val="28"/>
        </w:rPr>
        <w:t>8.25%</w:t>
      </w:r>
      <w:r>
        <w:rPr>
          <w:rFonts w:ascii="Source Sans Pro" w:eastAsia="標楷體" w:hAnsi="Source Sans Pro" w:hint="eastAsia"/>
          <w:sz w:val="28"/>
          <w:szCs w:val="28"/>
        </w:rPr>
        <w:t>，</w:t>
      </w:r>
      <w:r>
        <w:rPr>
          <w:rFonts w:ascii="Source Sans Pro" w:eastAsia="標楷體" w:hAnsi="Source Sans Pro" w:hint="eastAsia"/>
          <w:sz w:val="28"/>
          <w:szCs w:val="28"/>
        </w:rPr>
        <w:t>135</w:t>
      </w:r>
      <w:r>
        <w:rPr>
          <w:rFonts w:ascii="Source Sans Pro" w:eastAsia="標楷體" w:hAnsi="Source Sans Pro" w:hint="eastAsia"/>
          <w:sz w:val="28"/>
          <w:szCs w:val="28"/>
        </w:rPr>
        <w:t>檔打敗大盤，比例約</w:t>
      </w:r>
      <w:r>
        <w:rPr>
          <w:rFonts w:ascii="Source Sans Pro" w:eastAsia="標楷體" w:hAnsi="Source Sans Pro" w:hint="eastAsia"/>
          <w:sz w:val="28"/>
          <w:szCs w:val="28"/>
        </w:rPr>
        <w:t>75%</w:t>
      </w:r>
      <w:r>
        <w:rPr>
          <w:rFonts w:ascii="Source Sans Pro" w:eastAsia="標楷體" w:hAnsi="Source Sans Pro" w:hint="eastAsia"/>
          <w:sz w:val="28"/>
          <w:szCs w:val="28"/>
        </w:rPr>
        <w:t>，</w:t>
      </w:r>
      <w:r>
        <w:rPr>
          <w:rFonts w:ascii="Source Sans Pro" w:eastAsia="標楷體" w:hAnsi="Source Sans Pro" w:hint="eastAsia"/>
          <w:sz w:val="28"/>
          <w:szCs w:val="28"/>
        </w:rPr>
        <w:t>172</w:t>
      </w:r>
      <w:r>
        <w:rPr>
          <w:rFonts w:ascii="Source Sans Pro" w:eastAsia="標楷體" w:hAnsi="Source Sans Pro" w:hint="eastAsia"/>
          <w:sz w:val="28"/>
          <w:szCs w:val="28"/>
        </w:rPr>
        <w:t>檔正報酬，比例</w:t>
      </w:r>
      <w:r>
        <w:rPr>
          <w:rFonts w:ascii="Source Sans Pro" w:eastAsia="標楷體" w:hAnsi="Source Sans Pro" w:hint="eastAsia"/>
          <w:sz w:val="28"/>
          <w:szCs w:val="28"/>
        </w:rPr>
        <w:t>96%</w:t>
      </w:r>
      <w:r>
        <w:rPr>
          <w:rFonts w:ascii="Source Sans Pro" w:eastAsia="標楷體" w:hAnsi="Source Sans Pro"/>
          <w:sz w:val="28"/>
          <w:szCs w:val="28"/>
        </w:rPr>
        <w:t>。</w:t>
      </w:r>
      <w:r>
        <w:rPr>
          <w:rFonts w:ascii="Source Sans Pro" w:eastAsia="標楷體" w:hAnsi="Source Sans Pro" w:hint="eastAsia"/>
          <w:sz w:val="28"/>
          <w:szCs w:val="28"/>
        </w:rPr>
        <w:t>各子類表現依序為上櫃股票型（</w:t>
      </w:r>
      <w:r>
        <w:rPr>
          <w:rFonts w:ascii="Source Sans Pro" w:eastAsia="標楷體" w:hAnsi="Source Sans Pro" w:hint="eastAsia"/>
          <w:sz w:val="28"/>
          <w:szCs w:val="28"/>
        </w:rPr>
        <w:t>11.43%</w:t>
      </w:r>
      <w:r>
        <w:rPr>
          <w:rFonts w:ascii="Source Sans Pro" w:eastAsia="標楷體" w:hAnsi="Source Sans Pro" w:hint="eastAsia"/>
          <w:sz w:val="28"/>
          <w:szCs w:val="28"/>
        </w:rPr>
        <w:t>），科技類（</w:t>
      </w:r>
      <w:r>
        <w:rPr>
          <w:rFonts w:ascii="Source Sans Pro" w:eastAsia="標楷體" w:hAnsi="Source Sans Pro" w:hint="eastAsia"/>
          <w:sz w:val="28"/>
          <w:szCs w:val="28"/>
        </w:rPr>
        <w:t>9.77%</w:t>
      </w:r>
      <w:r>
        <w:rPr>
          <w:rFonts w:ascii="Source Sans Pro" w:eastAsia="標楷體" w:hAnsi="Source Sans Pro" w:hint="eastAsia"/>
          <w:sz w:val="28"/>
          <w:szCs w:val="28"/>
        </w:rPr>
        <w:t>），一般股票型（</w:t>
      </w:r>
      <w:r w:rsidR="000C07CC">
        <w:rPr>
          <w:rFonts w:ascii="Source Sans Pro" w:eastAsia="標楷體" w:hAnsi="Source Sans Pro" w:hint="eastAsia"/>
          <w:sz w:val="28"/>
          <w:szCs w:val="28"/>
        </w:rPr>
        <w:t>8.86</w:t>
      </w:r>
      <w:r>
        <w:rPr>
          <w:rFonts w:ascii="Source Sans Pro" w:eastAsia="標楷體" w:hAnsi="Source Sans Pro" w:hint="eastAsia"/>
          <w:sz w:val="28"/>
          <w:szCs w:val="28"/>
        </w:rPr>
        <w:t>%</w:t>
      </w:r>
      <w:r>
        <w:rPr>
          <w:rFonts w:ascii="Source Sans Pro" w:eastAsia="標楷體" w:hAnsi="Source Sans Pro" w:hint="eastAsia"/>
          <w:sz w:val="28"/>
          <w:szCs w:val="28"/>
        </w:rPr>
        <w:t>），中概股型（</w:t>
      </w:r>
      <w:r>
        <w:rPr>
          <w:rFonts w:ascii="Source Sans Pro" w:eastAsia="標楷體" w:hAnsi="Source Sans Pro" w:hint="eastAsia"/>
          <w:sz w:val="28"/>
          <w:szCs w:val="28"/>
        </w:rPr>
        <w:t>8.83%</w:t>
      </w:r>
      <w:r>
        <w:rPr>
          <w:rFonts w:ascii="Source Sans Pro" w:eastAsia="標楷體" w:hAnsi="Source Sans Pro" w:hint="eastAsia"/>
          <w:sz w:val="28"/>
          <w:szCs w:val="28"/>
        </w:rPr>
        <w:t>），中小型（</w:t>
      </w:r>
      <w:r>
        <w:rPr>
          <w:rFonts w:ascii="Source Sans Pro" w:eastAsia="標楷體" w:hAnsi="Source Sans Pro" w:hint="eastAsia"/>
          <w:sz w:val="28"/>
          <w:szCs w:val="28"/>
        </w:rPr>
        <w:t>8.35%</w:t>
      </w:r>
      <w:r>
        <w:rPr>
          <w:rFonts w:ascii="Source Sans Pro" w:eastAsia="標楷體" w:hAnsi="Source Sans Pro" w:hint="eastAsia"/>
          <w:sz w:val="28"/>
          <w:szCs w:val="28"/>
        </w:rPr>
        <w:t>），一般型</w:t>
      </w:r>
      <w:r>
        <w:rPr>
          <w:rFonts w:ascii="Source Sans Pro" w:eastAsia="標楷體" w:hAnsi="Source Sans Pro" w:hint="eastAsia"/>
          <w:sz w:val="28"/>
          <w:szCs w:val="28"/>
        </w:rPr>
        <w:t>ETF</w:t>
      </w:r>
      <w:r>
        <w:rPr>
          <w:rFonts w:ascii="Source Sans Pro" w:eastAsia="標楷體" w:hAnsi="Source Sans Pro" w:hint="eastAsia"/>
          <w:sz w:val="28"/>
          <w:szCs w:val="28"/>
        </w:rPr>
        <w:t>（</w:t>
      </w:r>
      <w:r>
        <w:rPr>
          <w:rFonts w:ascii="Source Sans Pro" w:eastAsia="標楷體" w:hAnsi="Source Sans Pro" w:hint="eastAsia"/>
          <w:sz w:val="28"/>
          <w:szCs w:val="28"/>
        </w:rPr>
        <w:t>6.96%</w:t>
      </w:r>
      <w:r>
        <w:rPr>
          <w:rFonts w:ascii="Source Sans Pro" w:eastAsia="標楷體" w:hAnsi="Source Sans Pro" w:hint="eastAsia"/>
          <w:sz w:val="28"/>
          <w:szCs w:val="28"/>
        </w:rPr>
        <w:t>），價值型（</w:t>
      </w:r>
      <w:r>
        <w:rPr>
          <w:rFonts w:ascii="Source Sans Pro" w:eastAsia="標楷體" w:hAnsi="Source Sans Pro" w:hint="eastAsia"/>
          <w:sz w:val="28"/>
          <w:szCs w:val="28"/>
        </w:rPr>
        <w:t>5.68%</w:t>
      </w:r>
      <w:r>
        <w:rPr>
          <w:rFonts w:ascii="Source Sans Pro" w:eastAsia="標楷體" w:hAnsi="Source Sans Pro" w:hint="eastAsia"/>
          <w:sz w:val="28"/>
          <w:szCs w:val="28"/>
        </w:rPr>
        <w:t>）</w:t>
      </w:r>
      <w:r>
        <w:rPr>
          <w:rFonts w:ascii="Source Sans Pro" w:eastAsia="標楷體" w:hAnsi="Source Sans Pro"/>
          <w:sz w:val="28"/>
          <w:szCs w:val="28"/>
        </w:rPr>
        <w:t>。</w:t>
      </w:r>
      <w:r>
        <w:rPr>
          <w:rFonts w:ascii="Source Sans Pro" w:eastAsia="標楷體" w:hAnsi="Source Sans Pro" w:hint="eastAsia"/>
          <w:sz w:val="28"/>
          <w:szCs w:val="28"/>
        </w:rPr>
        <w:lastRenderedPageBreak/>
        <w:t>2018</w:t>
      </w:r>
      <w:r>
        <w:rPr>
          <w:rFonts w:ascii="Source Sans Pro" w:eastAsia="標楷體" w:hAnsi="Source Sans Pro" w:hint="eastAsia"/>
          <w:sz w:val="28"/>
          <w:szCs w:val="28"/>
        </w:rPr>
        <w:t>年台股基金平均下跌</w:t>
      </w:r>
      <w:r>
        <w:rPr>
          <w:rFonts w:ascii="Source Sans Pro" w:eastAsia="標楷體" w:hAnsi="Source Sans Pro" w:hint="eastAsia"/>
          <w:sz w:val="28"/>
          <w:szCs w:val="28"/>
        </w:rPr>
        <w:t>10.51%</w:t>
      </w:r>
      <w:r>
        <w:rPr>
          <w:rFonts w:ascii="Source Sans Pro" w:eastAsia="標楷體" w:hAnsi="Source Sans Pro" w:hint="eastAsia"/>
          <w:sz w:val="28"/>
          <w:szCs w:val="28"/>
        </w:rPr>
        <w:t>，今年前兩個月的反彈大約收復七八成失地，上櫃股票型</w:t>
      </w:r>
      <w:r>
        <w:rPr>
          <w:rFonts w:ascii="Source Sans Pro" w:eastAsia="標楷體" w:hAnsi="Source Sans Pro" w:hint="eastAsia"/>
          <w:sz w:val="28"/>
          <w:szCs w:val="28"/>
        </w:rPr>
        <w:t>2018</w:t>
      </w:r>
      <w:r>
        <w:rPr>
          <w:rFonts w:ascii="Source Sans Pro" w:eastAsia="標楷體" w:hAnsi="Source Sans Pro" w:hint="eastAsia"/>
          <w:sz w:val="28"/>
          <w:szCs w:val="28"/>
        </w:rPr>
        <w:t>年平均損失</w:t>
      </w:r>
      <w:r>
        <w:rPr>
          <w:rFonts w:ascii="Source Sans Pro" w:eastAsia="標楷體" w:hAnsi="Source Sans Pro" w:hint="eastAsia"/>
          <w:sz w:val="28"/>
          <w:szCs w:val="28"/>
        </w:rPr>
        <w:t>16.60%</w:t>
      </w:r>
      <w:r>
        <w:rPr>
          <w:rFonts w:ascii="Source Sans Pro" w:eastAsia="標楷體" w:hAnsi="Source Sans Pro" w:hint="eastAsia"/>
          <w:sz w:val="28"/>
          <w:szCs w:val="28"/>
        </w:rPr>
        <w:t>，截至今年二月底收復了七成失地</w:t>
      </w:r>
      <w:r>
        <w:rPr>
          <w:rFonts w:ascii="Source Sans Pro" w:eastAsia="標楷體" w:hAnsi="Source Sans Pro"/>
          <w:sz w:val="28"/>
          <w:szCs w:val="28"/>
        </w:rPr>
        <w:t>。</w:t>
      </w:r>
    </w:p>
    <w:p w:rsidR="000C07CC" w:rsidRDefault="000C07CC" w:rsidP="00731E8B">
      <w:pPr>
        <w:spacing w:beforeLines="50" w:before="180" w:afterLines="50" w:after="180"/>
        <w:rPr>
          <w:rFonts w:ascii="Source Sans Pro" w:eastAsia="標楷體" w:hAnsi="Source Sans Pro" w:hint="eastAsia"/>
          <w:sz w:val="28"/>
          <w:szCs w:val="28"/>
        </w:rPr>
      </w:pPr>
      <w:r>
        <w:rPr>
          <w:rFonts w:ascii="Source Sans Pro" w:eastAsia="標楷體" w:hAnsi="Source Sans Pro" w:hint="eastAsia"/>
          <w:sz w:val="28"/>
          <w:szCs w:val="28"/>
        </w:rPr>
        <w:t xml:space="preserve">　　</w:t>
      </w:r>
      <w:r w:rsidR="00427567">
        <w:rPr>
          <w:rFonts w:ascii="Source Sans Pro" w:eastAsia="標楷體" w:hAnsi="Source Sans Pro" w:hint="eastAsia"/>
          <w:sz w:val="28"/>
          <w:szCs w:val="28"/>
        </w:rPr>
        <w:t>522</w:t>
      </w:r>
      <w:r>
        <w:rPr>
          <w:rFonts w:ascii="Source Sans Pro" w:eastAsia="標楷體" w:hAnsi="Source Sans Pro" w:hint="eastAsia"/>
          <w:sz w:val="28"/>
          <w:szCs w:val="28"/>
        </w:rPr>
        <w:t>檔跨國投資股票型基金今年前兩個月報酬率高達</w:t>
      </w:r>
      <w:r w:rsidR="00427567">
        <w:rPr>
          <w:rFonts w:ascii="Source Sans Pro" w:eastAsia="標楷體" w:hAnsi="Source Sans Pro" w:hint="eastAsia"/>
          <w:sz w:val="28"/>
          <w:szCs w:val="28"/>
        </w:rPr>
        <w:t>11.31</w:t>
      </w:r>
      <w:r>
        <w:rPr>
          <w:rFonts w:ascii="Source Sans Pro" w:eastAsia="標楷體" w:hAnsi="Source Sans Pro" w:hint="eastAsia"/>
          <w:sz w:val="28"/>
          <w:szCs w:val="28"/>
        </w:rPr>
        <w:t>%</w:t>
      </w:r>
      <w:r>
        <w:rPr>
          <w:rFonts w:ascii="Source Sans Pro" w:eastAsia="標楷體" w:hAnsi="Source Sans Pro" w:hint="eastAsia"/>
          <w:sz w:val="28"/>
          <w:szCs w:val="28"/>
        </w:rPr>
        <w:t>，其中</w:t>
      </w:r>
      <w:r w:rsidR="00427567">
        <w:rPr>
          <w:rFonts w:ascii="Source Sans Pro" w:eastAsia="標楷體" w:hAnsi="Source Sans Pro" w:hint="eastAsia"/>
          <w:sz w:val="28"/>
          <w:szCs w:val="28"/>
        </w:rPr>
        <w:t>424</w:t>
      </w:r>
      <w:r>
        <w:rPr>
          <w:rFonts w:ascii="Source Sans Pro" w:eastAsia="標楷體" w:hAnsi="Source Sans Pro" w:hint="eastAsia"/>
          <w:sz w:val="28"/>
          <w:szCs w:val="28"/>
        </w:rPr>
        <w:t>檔正報酬，與</w:t>
      </w:r>
      <w:r>
        <w:rPr>
          <w:rFonts w:ascii="Source Sans Pro" w:eastAsia="標楷體" w:hAnsi="Source Sans Pro" w:hint="eastAsia"/>
          <w:sz w:val="28"/>
          <w:szCs w:val="28"/>
        </w:rPr>
        <w:t>2018</w:t>
      </w:r>
      <w:r>
        <w:rPr>
          <w:rFonts w:ascii="Source Sans Pro" w:eastAsia="標楷體" w:hAnsi="Source Sans Pro" w:hint="eastAsia"/>
          <w:sz w:val="28"/>
          <w:szCs w:val="28"/>
        </w:rPr>
        <w:t>年</w:t>
      </w:r>
      <w:r>
        <w:rPr>
          <w:rFonts w:ascii="Source Sans Pro" w:eastAsia="標楷體" w:hAnsi="Source Sans Pro" w:hint="eastAsia"/>
          <w:sz w:val="28"/>
          <w:szCs w:val="28"/>
        </w:rPr>
        <w:t>-14.88%</w:t>
      </w:r>
      <w:r>
        <w:rPr>
          <w:rFonts w:ascii="Source Sans Pro" w:eastAsia="標楷體" w:hAnsi="Source Sans Pro" w:hint="eastAsia"/>
          <w:sz w:val="28"/>
          <w:szCs w:val="28"/>
        </w:rPr>
        <w:t>報酬率且僅</w:t>
      </w:r>
      <w:r>
        <w:rPr>
          <w:rFonts w:ascii="Source Sans Pro" w:eastAsia="標楷體" w:hAnsi="Source Sans Pro" w:hint="eastAsia"/>
          <w:sz w:val="28"/>
          <w:szCs w:val="28"/>
        </w:rPr>
        <w:t>21</w:t>
      </w:r>
      <w:r>
        <w:rPr>
          <w:rFonts w:ascii="Source Sans Pro" w:eastAsia="標楷體" w:hAnsi="Source Sans Pro" w:hint="eastAsia"/>
          <w:sz w:val="28"/>
          <w:szCs w:val="28"/>
        </w:rPr>
        <w:t>檔正報酬相比，恰似全球氣候極端變化</w:t>
      </w:r>
      <w:r>
        <w:rPr>
          <w:rFonts w:ascii="Source Sans Pro" w:eastAsia="標楷體" w:hAnsi="Source Sans Pro"/>
          <w:sz w:val="28"/>
          <w:szCs w:val="28"/>
        </w:rPr>
        <w:t>。</w:t>
      </w:r>
      <w:r>
        <w:rPr>
          <w:rFonts w:ascii="Source Sans Pro" w:eastAsia="標楷體" w:hAnsi="Source Sans Pro" w:hint="eastAsia"/>
          <w:sz w:val="28"/>
          <w:szCs w:val="28"/>
        </w:rPr>
        <w:t>表現最佳子類無疑是陸股相關基金，中國大陸一般型</w:t>
      </w:r>
      <w:r>
        <w:rPr>
          <w:rFonts w:ascii="Source Sans Pro" w:eastAsia="標楷體" w:hAnsi="Source Sans Pro" w:hint="eastAsia"/>
          <w:sz w:val="28"/>
          <w:szCs w:val="28"/>
        </w:rPr>
        <w:t>ETF</w:t>
      </w:r>
      <w:r>
        <w:rPr>
          <w:rFonts w:ascii="Source Sans Pro" w:eastAsia="標楷體" w:hAnsi="Source Sans Pro" w:hint="eastAsia"/>
          <w:sz w:val="28"/>
          <w:szCs w:val="28"/>
        </w:rPr>
        <w:t>（</w:t>
      </w:r>
      <w:r>
        <w:rPr>
          <w:rFonts w:ascii="Source Sans Pro" w:eastAsia="標楷體" w:hAnsi="Source Sans Pro" w:hint="eastAsia"/>
          <w:sz w:val="28"/>
          <w:szCs w:val="28"/>
        </w:rPr>
        <w:t>23.44%</w:t>
      </w:r>
      <w:r>
        <w:rPr>
          <w:rFonts w:ascii="Source Sans Pro" w:eastAsia="標楷體" w:hAnsi="Source Sans Pro" w:hint="eastAsia"/>
          <w:sz w:val="28"/>
          <w:szCs w:val="28"/>
        </w:rPr>
        <w:t>）</w:t>
      </w:r>
      <w:r>
        <w:rPr>
          <w:rFonts w:ascii="Source Sans Pro" w:eastAsia="標楷體" w:hAnsi="Source Sans Pro"/>
          <w:sz w:val="28"/>
          <w:szCs w:val="28"/>
        </w:rPr>
        <w:t>、</w:t>
      </w:r>
      <w:r>
        <w:rPr>
          <w:rFonts w:ascii="Source Sans Pro" w:eastAsia="標楷體" w:hAnsi="Source Sans Pro" w:hint="eastAsia"/>
          <w:sz w:val="28"/>
          <w:szCs w:val="28"/>
        </w:rPr>
        <w:t>中國大陸</w:t>
      </w:r>
      <w:r>
        <w:rPr>
          <w:rFonts w:ascii="Source Sans Pro" w:eastAsia="標楷體" w:hAnsi="Source Sans Pro" w:hint="eastAsia"/>
          <w:sz w:val="28"/>
          <w:szCs w:val="28"/>
        </w:rPr>
        <w:t>A</w:t>
      </w:r>
      <w:r>
        <w:rPr>
          <w:rFonts w:ascii="Source Sans Pro" w:eastAsia="標楷體" w:hAnsi="Source Sans Pro" w:hint="eastAsia"/>
          <w:sz w:val="28"/>
          <w:szCs w:val="28"/>
        </w:rPr>
        <w:t>股（全部幣別</w:t>
      </w:r>
      <w:r w:rsidR="00427567">
        <w:rPr>
          <w:rFonts w:ascii="Source Sans Pro" w:eastAsia="標楷體" w:hAnsi="Source Sans Pro" w:hint="eastAsia"/>
          <w:sz w:val="28"/>
          <w:szCs w:val="28"/>
        </w:rPr>
        <w:t>20.04</w:t>
      </w:r>
      <w:r>
        <w:rPr>
          <w:rFonts w:ascii="Source Sans Pro" w:eastAsia="標楷體" w:hAnsi="Source Sans Pro" w:hint="eastAsia"/>
          <w:sz w:val="28"/>
          <w:szCs w:val="28"/>
        </w:rPr>
        <w:t>%</w:t>
      </w:r>
      <w:r>
        <w:rPr>
          <w:rFonts w:ascii="Source Sans Pro" w:eastAsia="標楷體" w:hAnsi="Source Sans Pro" w:hint="eastAsia"/>
          <w:sz w:val="28"/>
          <w:szCs w:val="28"/>
        </w:rPr>
        <w:t>，台幣</w:t>
      </w:r>
      <w:r w:rsidR="00427567">
        <w:rPr>
          <w:rFonts w:ascii="Source Sans Pro" w:eastAsia="標楷體" w:hAnsi="Source Sans Pro" w:hint="eastAsia"/>
          <w:sz w:val="28"/>
          <w:szCs w:val="28"/>
        </w:rPr>
        <w:t>21.26</w:t>
      </w:r>
      <w:r>
        <w:rPr>
          <w:rFonts w:ascii="Source Sans Pro" w:eastAsia="標楷體" w:hAnsi="Source Sans Pro" w:hint="eastAsia"/>
          <w:sz w:val="28"/>
          <w:szCs w:val="28"/>
        </w:rPr>
        <w:t>%</w:t>
      </w:r>
      <w:r>
        <w:rPr>
          <w:rFonts w:ascii="Source Sans Pro" w:eastAsia="標楷體" w:hAnsi="Source Sans Pro" w:hint="eastAsia"/>
          <w:sz w:val="28"/>
          <w:szCs w:val="28"/>
        </w:rPr>
        <w:t>），大中華區（全部幣別</w:t>
      </w:r>
      <w:r>
        <w:rPr>
          <w:rFonts w:ascii="Source Sans Pro" w:eastAsia="標楷體" w:hAnsi="Source Sans Pro" w:hint="eastAsia"/>
          <w:sz w:val="28"/>
          <w:szCs w:val="28"/>
        </w:rPr>
        <w:t>17.62%</w:t>
      </w:r>
      <w:r>
        <w:rPr>
          <w:rFonts w:ascii="Source Sans Pro" w:eastAsia="標楷體" w:hAnsi="Source Sans Pro" w:hint="eastAsia"/>
          <w:sz w:val="28"/>
          <w:szCs w:val="28"/>
        </w:rPr>
        <w:t>，台幣</w:t>
      </w:r>
      <w:r>
        <w:rPr>
          <w:rFonts w:ascii="Source Sans Pro" w:eastAsia="標楷體" w:hAnsi="Source Sans Pro" w:hint="eastAsia"/>
          <w:sz w:val="28"/>
          <w:szCs w:val="28"/>
        </w:rPr>
        <w:t>18.15%</w:t>
      </w:r>
      <w:r>
        <w:rPr>
          <w:rFonts w:ascii="Source Sans Pro" w:eastAsia="標楷體" w:hAnsi="Source Sans Pro" w:hint="eastAsia"/>
          <w:sz w:val="28"/>
          <w:szCs w:val="28"/>
        </w:rPr>
        <w:t>）皆是強勁反彈，彌補了</w:t>
      </w:r>
      <w:r>
        <w:rPr>
          <w:rFonts w:ascii="Source Sans Pro" w:eastAsia="標楷體" w:hAnsi="Source Sans Pro" w:hint="eastAsia"/>
          <w:sz w:val="28"/>
          <w:szCs w:val="28"/>
        </w:rPr>
        <w:t>2018</w:t>
      </w:r>
      <w:r>
        <w:rPr>
          <w:rFonts w:ascii="Source Sans Pro" w:eastAsia="標楷體" w:hAnsi="Source Sans Pro" w:hint="eastAsia"/>
          <w:sz w:val="28"/>
          <w:szCs w:val="28"/>
        </w:rPr>
        <w:t>年七成多的損失</w:t>
      </w:r>
      <w:r>
        <w:rPr>
          <w:rFonts w:ascii="Source Sans Pro" w:eastAsia="標楷體" w:hAnsi="Source Sans Pro"/>
          <w:sz w:val="28"/>
          <w:szCs w:val="28"/>
        </w:rPr>
        <w:t>。</w:t>
      </w:r>
      <w:r>
        <w:rPr>
          <w:rFonts w:ascii="Source Sans Pro" w:eastAsia="標楷體" w:hAnsi="Source Sans Pro" w:hint="eastAsia"/>
          <w:sz w:val="28"/>
          <w:szCs w:val="28"/>
        </w:rPr>
        <w:t>美國股票型（</w:t>
      </w:r>
      <w:r>
        <w:rPr>
          <w:rFonts w:ascii="Source Sans Pro" w:eastAsia="標楷體" w:hAnsi="Source Sans Pro" w:hint="eastAsia"/>
          <w:sz w:val="28"/>
          <w:szCs w:val="28"/>
        </w:rPr>
        <w:t>13.42%</w:t>
      </w:r>
      <w:r>
        <w:rPr>
          <w:rFonts w:ascii="Source Sans Pro" w:eastAsia="標楷體" w:hAnsi="Source Sans Pro" w:hint="eastAsia"/>
          <w:sz w:val="28"/>
          <w:szCs w:val="28"/>
        </w:rPr>
        <w:t>）</w:t>
      </w:r>
      <w:r>
        <w:rPr>
          <w:rFonts w:ascii="Source Sans Pro" w:eastAsia="標楷體" w:hAnsi="Source Sans Pro"/>
          <w:sz w:val="28"/>
          <w:szCs w:val="28"/>
        </w:rPr>
        <w:t>、</w:t>
      </w:r>
      <w:r w:rsidR="00E869CA">
        <w:rPr>
          <w:rFonts w:ascii="Source Sans Pro" w:eastAsia="標楷體" w:hAnsi="Source Sans Pro" w:hint="eastAsia"/>
          <w:sz w:val="28"/>
          <w:szCs w:val="28"/>
        </w:rPr>
        <w:t>全球一般</w:t>
      </w:r>
      <w:r>
        <w:rPr>
          <w:rFonts w:ascii="Source Sans Pro" w:eastAsia="標楷體" w:hAnsi="Source Sans Pro" w:hint="eastAsia"/>
          <w:sz w:val="28"/>
          <w:szCs w:val="28"/>
        </w:rPr>
        <w:t>股票型（全部幣別</w:t>
      </w:r>
      <w:r>
        <w:rPr>
          <w:rFonts w:ascii="Source Sans Pro" w:eastAsia="標楷體" w:hAnsi="Source Sans Pro" w:hint="eastAsia"/>
          <w:sz w:val="28"/>
          <w:szCs w:val="28"/>
        </w:rPr>
        <w:t>9.75%</w:t>
      </w:r>
      <w:r>
        <w:rPr>
          <w:rFonts w:ascii="Source Sans Pro" w:eastAsia="標楷體" w:hAnsi="Source Sans Pro" w:hint="eastAsia"/>
          <w:sz w:val="28"/>
          <w:szCs w:val="28"/>
        </w:rPr>
        <w:t>，台幣</w:t>
      </w:r>
      <w:r>
        <w:rPr>
          <w:rFonts w:ascii="Source Sans Pro" w:eastAsia="標楷體" w:hAnsi="Source Sans Pro" w:hint="eastAsia"/>
          <w:sz w:val="28"/>
          <w:szCs w:val="28"/>
        </w:rPr>
        <w:t>10.60%</w:t>
      </w:r>
      <w:r>
        <w:rPr>
          <w:rFonts w:ascii="Source Sans Pro" w:eastAsia="標楷體" w:hAnsi="Source Sans Pro" w:hint="eastAsia"/>
          <w:sz w:val="28"/>
          <w:szCs w:val="28"/>
        </w:rPr>
        <w:t>）</w:t>
      </w:r>
      <w:bookmarkStart w:id="0" w:name="_GoBack"/>
      <w:bookmarkEnd w:id="0"/>
      <w:r>
        <w:rPr>
          <w:rFonts w:ascii="Source Sans Pro" w:eastAsia="標楷體" w:hAnsi="Source Sans Pro" w:hint="eastAsia"/>
          <w:sz w:val="28"/>
          <w:szCs w:val="28"/>
        </w:rPr>
        <w:t>今年的獲利已經超過去年的損失</w:t>
      </w:r>
      <w:r>
        <w:rPr>
          <w:rFonts w:ascii="Source Sans Pro" w:eastAsia="標楷體" w:hAnsi="Source Sans Pro"/>
          <w:sz w:val="28"/>
          <w:szCs w:val="28"/>
        </w:rPr>
        <w:t>。</w:t>
      </w:r>
      <w:r>
        <w:rPr>
          <w:rFonts w:ascii="Source Sans Pro" w:eastAsia="標楷體" w:hAnsi="Source Sans Pro" w:hint="eastAsia"/>
          <w:sz w:val="28"/>
          <w:szCs w:val="28"/>
        </w:rPr>
        <w:t>年初迄今報酬率超過</w:t>
      </w:r>
      <w:r>
        <w:rPr>
          <w:rFonts w:ascii="Source Sans Pro" w:eastAsia="標楷體" w:hAnsi="Source Sans Pro" w:hint="eastAsia"/>
          <w:sz w:val="28"/>
          <w:szCs w:val="28"/>
        </w:rPr>
        <w:t>20%</w:t>
      </w:r>
      <w:r>
        <w:rPr>
          <w:rFonts w:ascii="Source Sans Pro" w:eastAsia="標楷體" w:hAnsi="Source Sans Pro" w:hint="eastAsia"/>
          <w:sz w:val="28"/>
          <w:szCs w:val="28"/>
        </w:rPr>
        <w:t>的基金有</w:t>
      </w:r>
      <w:r w:rsidR="00E869CA">
        <w:rPr>
          <w:rFonts w:ascii="Source Sans Pro" w:eastAsia="標楷體" w:hAnsi="Source Sans Pro" w:hint="eastAsia"/>
          <w:sz w:val="28"/>
          <w:szCs w:val="28"/>
        </w:rPr>
        <w:t>49</w:t>
      </w:r>
      <w:r>
        <w:rPr>
          <w:rFonts w:ascii="Source Sans Pro" w:eastAsia="標楷體" w:hAnsi="Source Sans Pro" w:hint="eastAsia"/>
          <w:sz w:val="28"/>
          <w:szCs w:val="28"/>
        </w:rPr>
        <w:t>檔（不計入槓桿</w:t>
      </w:r>
      <w:r>
        <w:rPr>
          <w:rFonts w:ascii="Source Sans Pro" w:eastAsia="標楷體" w:hAnsi="Source Sans Pro"/>
          <w:sz w:val="28"/>
          <w:szCs w:val="28"/>
        </w:rPr>
        <w:t>、</w:t>
      </w:r>
      <w:r>
        <w:rPr>
          <w:rFonts w:ascii="Source Sans Pro" w:eastAsia="標楷體" w:hAnsi="Source Sans Pro" w:hint="eastAsia"/>
          <w:sz w:val="28"/>
          <w:szCs w:val="28"/>
        </w:rPr>
        <w:t>反向），富邦深証</w:t>
      </w:r>
      <w:r>
        <w:rPr>
          <w:rFonts w:ascii="Source Sans Pro" w:eastAsia="標楷體" w:hAnsi="Source Sans Pro" w:hint="eastAsia"/>
          <w:sz w:val="28"/>
          <w:szCs w:val="28"/>
        </w:rPr>
        <w:t>100</w:t>
      </w:r>
      <w:r>
        <w:rPr>
          <w:rFonts w:ascii="Source Sans Pro" w:eastAsia="標楷體" w:hAnsi="Source Sans Pro"/>
          <w:sz w:val="28"/>
          <w:szCs w:val="28"/>
        </w:rPr>
        <w:t xml:space="preserve"> ETF</w:t>
      </w:r>
      <w:r>
        <w:rPr>
          <w:rFonts w:ascii="Source Sans Pro" w:eastAsia="標楷體" w:hAnsi="Source Sans Pro" w:hint="eastAsia"/>
          <w:sz w:val="28"/>
          <w:szCs w:val="28"/>
        </w:rPr>
        <w:t>（</w:t>
      </w:r>
      <w:r>
        <w:rPr>
          <w:rFonts w:ascii="Source Sans Pro" w:eastAsia="標楷體" w:hAnsi="Source Sans Pro" w:hint="eastAsia"/>
          <w:sz w:val="28"/>
          <w:szCs w:val="28"/>
        </w:rPr>
        <w:t>29.67%</w:t>
      </w:r>
      <w:r>
        <w:rPr>
          <w:rFonts w:ascii="Source Sans Pro" w:eastAsia="標楷體" w:hAnsi="Source Sans Pro" w:hint="eastAsia"/>
          <w:sz w:val="28"/>
          <w:szCs w:val="28"/>
        </w:rPr>
        <w:t>）是報酬率最高者</w:t>
      </w:r>
      <w:r>
        <w:rPr>
          <w:rFonts w:ascii="Source Sans Pro" w:eastAsia="標楷體" w:hAnsi="Source Sans Pro"/>
          <w:sz w:val="28"/>
          <w:szCs w:val="28"/>
        </w:rPr>
        <w:t>。</w:t>
      </w:r>
      <w:r>
        <w:rPr>
          <w:rFonts w:ascii="Source Sans Pro" w:eastAsia="標楷體" w:hAnsi="Source Sans Pro" w:hint="eastAsia"/>
          <w:sz w:val="28"/>
          <w:szCs w:val="28"/>
        </w:rPr>
        <w:t>陸股大漲大跌的特性，讓陸股基金（特別是</w:t>
      </w:r>
      <w:r>
        <w:rPr>
          <w:rFonts w:ascii="Source Sans Pro" w:eastAsia="標楷體" w:hAnsi="Source Sans Pro" w:hint="eastAsia"/>
          <w:sz w:val="28"/>
          <w:szCs w:val="28"/>
        </w:rPr>
        <w:t>ETF</w:t>
      </w:r>
      <w:r>
        <w:rPr>
          <w:rFonts w:ascii="Source Sans Pro" w:eastAsia="標楷體" w:hAnsi="Source Sans Pro" w:hint="eastAsia"/>
          <w:sz w:val="28"/>
          <w:szCs w:val="28"/>
        </w:rPr>
        <w:t>）深受喜愛刺激的一群台灣投資人青睞，槓桿與反向玩的不亦樂乎，只是不知道有多少人精準的賺到錢</w:t>
      </w:r>
      <w:r>
        <w:rPr>
          <w:rFonts w:ascii="Source Sans Pro" w:eastAsia="標楷體" w:hAnsi="Source Sans Pro"/>
          <w:sz w:val="28"/>
          <w:szCs w:val="28"/>
        </w:rPr>
        <w:t>。</w:t>
      </w:r>
    </w:p>
    <w:p w:rsidR="000C07CC" w:rsidRDefault="00954B79" w:rsidP="00731E8B">
      <w:pPr>
        <w:spacing w:beforeLines="50" w:before="180" w:afterLines="50" w:after="180"/>
        <w:rPr>
          <w:rFonts w:ascii="Source Sans Pro" w:eastAsia="標楷體" w:hAnsi="Source Sans Pro" w:hint="eastAsia"/>
          <w:sz w:val="28"/>
          <w:szCs w:val="28"/>
        </w:rPr>
      </w:pPr>
      <w:r>
        <w:rPr>
          <w:rFonts w:ascii="Source Sans Pro" w:eastAsia="標楷體" w:hAnsi="Source Sans Pro" w:hint="eastAsia"/>
          <w:sz w:val="28"/>
          <w:szCs w:val="28"/>
        </w:rPr>
        <w:t xml:space="preserve">　　美國聯準會貨幣政策由鷹轉鴿對成熟國家投資等級債的表現自然有好處，但受益最大是與股票市場連動的高收益債，以及國際資金回流的新興市場債</w:t>
      </w:r>
      <w:r>
        <w:rPr>
          <w:rFonts w:ascii="Source Sans Pro" w:eastAsia="標楷體" w:hAnsi="Source Sans Pro"/>
          <w:sz w:val="28"/>
          <w:szCs w:val="28"/>
        </w:rPr>
        <w:t>。</w:t>
      </w:r>
      <w:r w:rsidR="0057702E">
        <w:rPr>
          <w:rFonts w:ascii="Source Sans Pro" w:eastAsia="標楷體" w:hAnsi="Source Sans Pro" w:hint="eastAsia"/>
          <w:sz w:val="28"/>
          <w:szCs w:val="28"/>
        </w:rPr>
        <w:t>年初到二月底債券基金各子類報酬率依序為全球型高收益債（全部幣別</w:t>
      </w:r>
      <w:r w:rsidR="001063F4">
        <w:rPr>
          <w:rFonts w:ascii="Source Sans Pro" w:eastAsia="標楷體" w:hAnsi="Source Sans Pro" w:hint="eastAsia"/>
          <w:sz w:val="28"/>
          <w:szCs w:val="28"/>
        </w:rPr>
        <w:t>5.37</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，因與台幣級別差異不大，以下只列全</w:t>
      </w:r>
      <w:r w:rsidR="0057702E">
        <w:rPr>
          <w:rFonts w:ascii="Source Sans Pro" w:eastAsia="標楷體" w:hAnsi="Source Sans Pro" w:hint="eastAsia"/>
          <w:sz w:val="28"/>
          <w:szCs w:val="28"/>
        </w:rPr>
        <w:lastRenderedPageBreak/>
        <w:t>部幣別）</w:t>
      </w:r>
      <w:r w:rsidR="0057702E">
        <w:rPr>
          <w:rFonts w:ascii="Source Sans Pro" w:eastAsia="標楷體" w:hAnsi="Source Sans Pro"/>
          <w:sz w:val="28"/>
          <w:szCs w:val="28"/>
        </w:rPr>
        <w:t>、</w:t>
      </w:r>
      <w:r w:rsidR="0057702E">
        <w:rPr>
          <w:rFonts w:ascii="Source Sans Pro" w:eastAsia="標楷體" w:hAnsi="Source Sans Pro" w:hint="eastAsia"/>
          <w:sz w:val="28"/>
          <w:szCs w:val="28"/>
        </w:rPr>
        <w:t>新興市場高收益債（</w:t>
      </w:r>
      <w:r w:rsidR="0057702E">
        <w:rPr>
          <w:rFonts w:ascii="Source Sans Pro" w:eastAsia="標楷體" w:hAnsi="Source Sans Pro" w:hint="eastAsia"/>
          <w:sz w:val="28"/>
          <w:szCs w:val="28"/>
        </w:rPr>
        <w:t>4.86%</w:t>
      </w:r>
      <w:r w:rsidR="0057702E">
        <w:rPr>
          <w:rFonts w:ascii="Source Sans Pro" w:eastAsia="標楷體" w:hAnsi="Source Sans Pro" w:hint="eastAsia"/>
          <w:sz w:val="28"/>
          <w:szCs w:val="28"/>
        </w:rPr>
        <w:t>）</w:t>
      </w:r>
      <w:r w:rsidR="0057702E">
        <w:rPr>
          <w:rFonts w:ascii="Source Sans Pro" w:eastAsia="標楷體" w:hAnsi="Source Sans Pro"/>
          <w:sz w:val="28"/>
          <w:szCs w:val="28"/>
        </w:rPr>
        <w:t>、</w:t>
      </w:r>
      <w:r w:rsidR="0057702E">
        <w:rPr>
          <w:rFonts w:ascii="Source Sans Pro" w:eastAsia="標楷體" w:hAnsi="Source Sans Pro" w:hint="eastAsia"/>
          <w:sz w:val="28"/>
          <w:szCs w:val="28"/>
        </w:rPr>
        <w:t>一般</w:t>
      </w:r>
      <w:r w:rsidR="008C2451">
        <w:rPr>
          <w:rFonts w:ascii="Source Sans Pro" w:eastAsia="標楷體" w:hAnsi="Source Sans Pro" w:hint="eastAsia"/>
          <w:sz w:val="28"/>
          <w:szCs w:val="28"/>
        </w:rPr>
        <w:t>債券</w:t>
      </w:r>
      <w:r w:rsidR="0057702E">
        <w:rPr>
          <w:rFonts w:ascii="Source Sans Pro" w:eastAsia="標楷體" w:hAnsi="Source Sans Pro" w:hint="eastAsia"/>
          <w:sz w:val="28"/>
          <w:szCs w:val="28"/>
        </w:rPr>
        <w:t>型</w:t>
      </w:r>
      <w:r w:rsidR="008C2451">
        <w:rPr>
          <w:rFonts w:ascii="Source Sans Pro" w:eastAsia="標楷體" w:hAnsi="Source Sans Pro" w:hint="eastAsia"/>
          <w:sz w:val="28"/>
          <w:szCs w:val="28"/>
        </w:rPr>
        <w:t>ETF</w:t>
      </w:r>
      <w:r w:rsidR="0057702E">
        <w:rPr>
          <w:rFonts w:ascii="Source Sans Pro" w:eastAsia="標楷體" w:hAnsi="Source Sans Pro" w:hint="eastAsia"/>
          <w:sz w:val="28"/>
          <w:szCs w:val="28"/>
        </w:rPr>
        <w:t>（</w:t>
      </w:r>
      <w:r w:rsidR="008C2451">
        <w:rPr>
          <w:rFonts w:ascii="Source Sans Pro" w:eastAsia="標楷體" w:hAnsi="Source Sans Pro" w:hint="eastAsia"/>
          <w:sz w:val="28"/>
          <w:szCs w:val="28"/>
        </w:rPr>
        <w:t>3.54</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w:t>
      </w:r>
      <w:r w:rsidR="008C2451">
        <w:rPr>
          <w:rFonts w:ascii="Source Sans Pro" w:eastAsia="標楷體" w:hAnsi="Source Sans Pro"/>
          <w:sz w:val="28"/>
          <w:szCs w:val="28"/>
        </w:rPr>
        <w:t>、</w:t>
      </w:r>
      <w:r w:rsidR="008C2451">
        <w:rPr>
          <w:rFonts w:ascii="Source Sans Pro" w:eastAsia="標楷體" w:hAnsi="Source Sans Pro" w:hint="eastAsia"/>
          <w:sz w:val="28"/>
          <w:szCs w:val="28"/>
        </w:rPr>
        <w:t>全球新興市場投資等級</w:t>
      </w:r>
      <w:r w:rsidR="0057702E">
        <w:rPr>
          <w:rFonts w:ascii="Source Sans Pro" w:eastAsia="標楷體" w:hAnsi="Source Sans Pro" w:hint="eastAsia"/>
          <w:sz w:val="28"/>
          <w:szCs w:val="28"/>
        </w:rPr>
        <w:t>（</w:t>
      </w:r>
      <w:r w:rsidR="001063F4">
        <w:rPr>
          <w:rFonts w:ascii="Source Sans Pro" w:eastAsia="標楷體" w:hAnsi="Source Sans Pro" w:hint="eastAsia"/>
          <w:sz w:val="28"/>
          <w:szCs w:val="28"/>
        </w:rPr>
        <w:t>3.50</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w:t>
      </w:r>
      <w:r w:rsidR="008C2451">
        <w:rPr>
          <w:rFonts w:ascii="Source Sans Pro" w:eastAsia="標楷體" w:hAnsi="Source Sans Pro"/>
          <w:sz w:val="28"/>
          <w:szCs w:val="28"/>
        </w:rPr>
        <w:t>、</w:t>
      </w:r>
      <w:r w:rsidR="008C2451">
        <w:rPr>
          <w:rFonts w:ascii="Source Sans Pro" w:eastAsia="標楷體" w:hAnsi="Source Sans Pro" w:hint="eastAsia"/>
          <w:sz w:val="28"/>
          <w:szCs w:val="28"/>
        </w:rPr>
        <w:t>目標到期投資等級</w:t>
      </w:r>
      <w:r w:rsidR="0057702E">
        <w:rPr>
          <w:rFonts w:ascii="Source Sans Pro" w:eastAsia="標楷體" w:hAnsi="Source Sans Pro" w:hint="eastAsia"/>
          <w:sz w:val="28"/>
          <w:szCs w:val="28"/>
        </w:rPr>
        <w:t>（</w:t>
      </w:r>
      <w:r w:rsidR="008C2451">
        <w:rPr>
          <w:rFonts w:ascii="Source Sans Pro" w:eastAsia="標楷體" w:hAnsi="Source Sans Pro" w:hint="eastAsia"/>
          <w:sz w:val="28"/>
          <w:szCs w:val="28"/>
        </w:rPr>
        <w:t>3.38</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w:t>
      </w:r>
      <w:r w:rsidR="008C2451">
        <w:rPr>
          <w:rFonts w:ascii="Source Sans Pro" w:eastAsia="標楷體" w:hAnsi="Source Sans Pro"/>
          <w:sz w:val="28"/>
          <w:szCs w:val="28"/>
        </w:rPr>
        <w:t>、</w:t>
      </w:r>
      <w:r w:rsidR="008C2451">
        <w:rPr>
          <w:rFonts w:ascii="Source Sans Pro" w:eastAsia="標楷體" w:hAnsi="Source Sans Pro" w:hint="eastAsia"/>
          <w:sz w:val="28"/>
          <w:szCs w:val="28"/>
        </w:rPr>
        <w:t>亞洲高收益</w:t>
      </w:r>
      <w:r w:rsidR="0057702E">
        <w:rPr>
          <w:rFonts w:ascii="Source Sans Pro" w:eastAsia="標楷體" w:hAnsi="Source Sans Pro" w:hint="eastAsia"/>
          <w:sz w:val="28"/>
          <w:szCs w:val="28"/>
        </w:rPr>
        <w:t>（</w:t>
      </w:r>
      <w:r w:rsidR="008C2451">
        <w:rPr>
          <w:rFonts w:ascii="Source Sans Pro" w:eastAsia="標楷體" w:hAnsi="Source Sans Pro" w:hint="eastAsia"/>
          <w:sz w:val="28"/>
          <w:szCs w:val="28"/>
        </w:rPr>
        <w:t>3.30</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w:t>
      </w:r>
      <w:r w:rsidR="008C2451">
        <w:rPr>
          <w:rFonts w:ascii="Source Sans Pro" w:eastAsia="標楷體" w:hAnsi="Source Sans Pro"/>
          <w:sz w:val="28"/>
          <w:szCs w:val="28"/>
        </w:rPr>
        <w:t>、</w:t>
      </w:r>
      <w:r w:rsidR="008C2451">
        <w:rPr>
          <w:rFonts w:ascii="Source Sans Pro" w:eastAsia="標楷體" w:hAnsi="Source Sans Pro" w:hint="eastAsia"/>
          <w:sz w:val="28"/>
          <w:szCs w:val="28"/>
        </w:rPr>
        <w:t>中國大陸高收益</w:t>
      </w:r>
      <w:r w:rsidR="0057702E">
        <w:rPr>
          <w:rFonts w:ascii="Source Sans Pro" w:eastAsia="標楷體" w:hAnsi="Source Sans Pro" w:hint="eastAsia"/>
          <w:sz w:val="28"/>
          <w:szCs w:val="28"/>
        </w:rPr>
        <w:t>（</w:t>
      </w:r>
      <w:r w:rsidR="008C2451">
        <w:rPr>
          <w:rFonts w:ascii="Source Sans Pro" w:eastAsia="標楷體" w:hAnsi="Source Sans Pro" w:hint="eastAsia"/>
          <w:sz w:val="28"/>
          <w:szCs w:val="28"/>
        </w:rPr>
        <w:t>2.84</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w:t>
      </w:r>
      <w:r w:rsidR="008C2451">
        <w:rPr>
          <w:rFonts w:ascii="Source Sans Pro" w:eastAsia="標楷體" w:hAnsi="Source Sans Pro"/>
          <w:sz w:val="28"/>
          <w:szCs w:val="28"/>
        </w:rPr>
        <w:t>、</w:t>
      </w:r>
      <w:r w:rsidR="008C2451">
        <w:rPr>
          <w:rFonts w:ascii="Source Sans Pro" w:eastAsia="標楷體" w:hAnsi="Source Sans Pro" w:hint="eastAsia"/>
          <w:sz w:val="28"/>
          <w:szCs w:val="28"/>
        </w:rPr>
        <w:t>中國大陸投資等級</w:t>
      </w:r>
      <w:r w:rsidR="0057702E">
        <w:rPr>
          <w:rFonts w:ascii="Source Sans Pro" w:eastAsia="標楷體" w:hAnsi="Source Sans Pro" w:hint="eastAsia"/>
          <w:sz w:val="28"/>
          <w:szCs w:val="28"/>
        </w:rPr>
        <w:t>（</w:t>
      </w:r>
      <w:r w:rsidR="008C2451">
        <w:rPr>
          <w:rFonts w:ascii="Source Sans Pro" w:eastAsia="標楷體" w:hAnsi="Source Sans Pro" w:hint="eastAsia"/>
          <w:sz w:val="28"/>
          <w:szCs w:val="28"/>
        </w:rPr>
        <w:t>2.23</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w:t>
      </w:r>
      <w:r w:rsidR="008C2451">
        <w:rPr>
          <w:rFonts w:ascii="Source Sans Pro" w:eastAsia="標楷體" w:hAnsi="Source Sans Pro"/>
          <w:sz w:val="28"/>
          <w:szCs w:val="28"/>
        </w:rPr>
        <w:t>、</w:t>
      </w:r>
      <w:r w:rsidR="008C2451">
        <w:rPr>
          <w:rFonts w:ascii="Source Sans Pro" w:eastAsia="標楷體" w:hAnsi="Source Sans Pro" w:hint="eastAsia"/>
          <w:sz w:val="28"/>
          <w:szCs w:val="28"/>
        </w:rPr>
        <w:t>亞洲新興市場投資等級</w:t>
      </w:r>
      <w:r w:rsidR="0057702E">
        <w:rPr>
          <w:rFonts w:ascii="Source Sans Pro" w:eastAsia="標楷體" w:hAnsi="Source Sans Pro" w:hint="eastAsia"/>
          <w:sz w:val="28"/>
          <w:szCs w:val="28"/>
        </w:rPr>
        <w:t>（</w:t>
      </w:r>
      <w:r w:rsidR="001063F4">
        <w:rPr>
          <w:rFonts w:ascii="Source Sans Pro" w:eastAsia="標楷體" w:hAnsi="Source Sans Pro" w:hint="eastAsia"/>
          <w:sz w:val="28"/>
          <w:szCs w:val="28"/>
        </w:rPr>
        <w:t>2.22</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w:t>
      </w:r>
      <w:r w:rsidR="008C2451">
        <w:rPr>
          <w:rFonts w:ascii="Source Sans Pro" w:eastAsia="標楷體" w:hAnsi="Source Sans Pro"/>
          <w:sz w:val="28"/>
          <w:szCs w:val="28"/>
        </w:rPr>
        <w:t>、</w:t>
      </w:r>
      <w:r w:rsidR="008C2451">
        <w:rPr>
          <w:rFonts w:ascii="Source Sans Pro" w:eastAsia="標楷體" w:hAnsi="Source Sans Pro" w:hint="eastAsia"/>
          <w:sz w:val="28"/>
          <w:szCs w:val="28"/>
        </w:rPr>
        <w:t>短期型投資等級</w:t>
      </w:r>
      <w:r w:rsidR="0057702E">
        <w:rPr>
          <w:rFonts w:ascii="Source Sans Pro" w:eastAsia="標楷體" w:hAnsi="Source Sans Pro" w:hint="eastAsia"/>
          <w:sz w:val="28"/>
          <w:szCs w:val="28"/>
        </w:rPr>
        <w:t>（</w:t>
      </w:r>
      <w:r w:rsidR="008C2451">
        <w:rPr>
          <w:rFonts w:ascii="Source Sans Pro" w:eastAsia="標楷體" w:hAnsi="Source Sans Pro" w:hint="eastAsia"/>
          <w:sz w:val="28"/>
          <w:szCs w:val="28"/>
        </w:rPr>
        <w:t>1.97</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w:t>
      </w:r>
      <w:r w:rsidR="008C2451">
        <w:rPr>
          <w:rFonts w:ascii="Source Sans Pro" w:eastAsia="標楷體" w:hAnsi="Source Sans Pro"/>
          <w:sz w:val="28"/>
          <w:szCs w:val="28"/>
        </w:rPr>
        <w:t>、</w:t>
      </w:r>
      <w:r w:rsidR="008C2451">
        <w:rPr>
          <w:rFonts w:ascii="Source Sans Pro" w:eastAsia="標楷體" w:hAnsi="Source Sans Pro" w:hint="eastAsia"/>
          <w:sz w:val="28"/>
          <w:szCs w:val="28"/>
        </w:rPr>
        <w:t>全球型投資等級</w:t>
      </w:r>
      <w:r w:rsidR="0057702E">
        <w:rPr>
          <w:rFonts w:ascii="Source Sans Pro" w:eastAsia="標楷體" w:hAnsi="Source Sans Pro" w:hint="eastAsia"/>
          <w:sz w:val="28"/>
          <w:szCs w:val="28"/>
        </w:rPr>
        <w:t>（</w:t>
      </w:r>
      <w:r w:rsidR="008C2451">
        <w:rPr>
          <w:rFonts w:ascii="Source Sans Pro" w:eastAsia="標楷體" w:hAnsi="Source Sans Pro" w:hint="eastAsia"/>
          <w:sz w:val="28"/>
          <w:szCs w:val="28"/>
        </w:rPr>
        <w:t>1.70</w:t>
      </w:r>
      <w:r w:rsidR="0057702E">
        <w:rPr>
          <w:rFonts w:ascii="Source Sans Pro" w:eastAsia="標楷體" w:hAnsi="Source Sans Pro" w:hint="eastAsia"/>
          <w:sz w:val="28"/>
          <w:szCs w:val="28"/>
        </w:rPr>
        <w:t>%</w:t>
      </w:r>
      <w:r w:rsidR="0057702E">
        <w:rPr>
          <w:rFonts w:ascii="Source Sans Pro" w:eastAsia="標楷體" w:hAnsi="Source Sans Pro" w:hint="eastAsia"/>
          <w:sz w:val="28"/>
          <w:szCs w:val="28"/>
        </w:rPr>
        <w:t>）</w:t>
      </w:r>
      <w:r w:rsidR="008C2451">
        <w:rPr>
          <w:rFonts w:ascii="Source Sans Pro" w:eastAsia="標楷體" w:hAnsi="Source Sans Pro"/>
          <w:sz w:val="28"/>
          <w:szCs w:val="28"/>
        </w:rPr>
        <w:t>、</w:t>
      </w:r>
      <w:r w:rsidR="008C2451">
        <w:rPr>
          <w:rFonts w:ascii="Source Sans Pro" w:eastAsia="標楷體" w:hAnsi="Source Sans Pro" w:hint="eastAsia"/>
          <w:sz w:val="28"/>
          <w:szCs w:val="28"/>
        </w:rPr>
        <w:t>美國投資等級</w:t>
      </w:r>
      <w:r w:rsidR="000C07CC">
        <w:rPr>
          <w:rFonts w:ascii="Source Sans Pro" w:eastAsia="標楷體" w:hAnsi="Source Sans Pro" w:hint="eastAsia"/>
          <w:sz w:val="28"/>
          <w:szCs w:val="28"/>
        </w:rPr>
        <w:t>（</w:t>
      </w:r>
      <w:r w:rsidR="008C2451">
        <w:rPr>
          <w:rFonts w:ascii="Source Sans Pro" w:eastAsia="標楷體" w:hAnsi="Source Sans Pro" w:hint="eastAsia"/>
          <w:sz w:val="28"/>
          <w:szCs w:val="28"/>
        </w:rPr>
        <w:t>1.46</w:t>
      </w:r>
      <w:r w:rsidR="000C07CC">
        <w:rPr>
          <w:rFonts w:ascii="Source Sans Pro" w:eastAsia="標楷體" w:hAnsi="Source Sans Pro" w:hint="eastAsia"/>
          <w:sz w:val="28"/>
          <w:szCs w:val="28"/>
        </w:rPr>
        <w:t>%</w:t>
      </w:r>
      <w:r w:rsidR="000C07CC">
        <w:rPr>
          <w:rFonts w:ascii="Source Sans Pro" w:eastAsia="標楷體" w:hAnsi="Source Sans Pro" w:hint="eastAsia"/>
          <w:sz w:val="28"/>
          <w:szCs w:val="28"/>
        </w:rPr>
        <w:t>）</w:t>
      </w:r>
      <w:r w:rsidR="008C2451">
        <w:rPr>
          <w:rFonts w:ascii="Source Sans Pro" w:eastAsia="標楷體" w:hAnsi="Source Sans Pro"/>
          <w:sz w:val="28"/>
          <w:szCs w:val="28"/>
        </w:rPr>
        <w:t>。</w:t>
      </w:r>
    </w:p>
    <w:p w:rsidR="00DF1523" w:rsidRPr="008C2451" w:rsidRDefault="008C2451" w:rsidP="00DF1523">
      <w:pPr>
        <w:spacing w:beforeLines="50" w:before="180" w:afterLines="50" w:after="180"/>
        <w:rPr>
          <w:rFonts w:ascii="標楷體" w:eastAsia="標楷體" w:hAnsi="標楷體"/>
          <w:sz w:val="28"/>
          <w:szCs w:val="28"/>
        </w:rPr>
      </w:pPr>
      <w:r>
        <w:rPr>
          <w:rFonts w:ascii="Source Sans Pro" w:eastAsia="標楷體" w:hAnsi="Source Sans Pro" w:hint="eastAsia"/>
          <w:sz w:val="28"/>
          <w:szCs w:val="28"/>
        </w:rPr>
        <w:t xml:space="preserve">　　平衡型基金整體表現不錯，報酬最佳的子類當然是中國大陸平衡型（全部幣別</w:t>
      </w:r>
      <w:r>
        <w:rPr>
          <w:rFonts w:ascii="Source Sans Pro" w:eastAsia="標楷體" w:hAnsi="Source Sans Pro" w:hint="eastAsia"/>
          <w:sz w:val="28"/>
          <w:szCs w:val="28"/>
        </w:rPr>
        <w:t>10.01%</w:t>
      </w:r>
      <w:r>
        <w:rPr>
          <w:rFonts w:ascii="Source Sans Pro" w:eastAsia="標楷體" w:hAnsi="Source Sans Pro" w:hint="eastAsia"/>
          <w:sz w:val="28"/>
          <w:szCs w:val="28"/>
        </w:rPr>
        <w:t>，台幣</w:t>
      </w:r>
      <w:r>
        <w:rPr>
          <w:rFonts w:ascii="Source Sans Pro" w:eastAsia="標楷體" w:hAnsi="Source Sans Pro" w:hint="eastAsia"/>
          <w:sz w:val="28"/>
          <w:szCs w:val="28"/>
        </w:rPr>
        <w:t>10.85%</w:t>
      </w:r>
      <w:r>
        <w:rPr>
          <w:rFonts w:ascii="Source Sans Pro" w:eastAsia="標楷體" w:hAnsi="Source Sans Pro" w:hint="eastAsia"/>
          <w:sz w:val="28"/>
          <w:szCs w:val="28"/>
        </w:rPr>
        <w:t>），其次依序為新興市場（</w:t>
      </w:r>
      <w:r>
        <w:rPr>
          <w:rFonts w:ascii="Source Sans Pro" w:eastAsia="標楷體" w:hAnsi="Source Sans Pro" w:hint="eastAsia"/>
          <w:sz w:val="28"/>
          <w:szCs w:val="28"/>
        </w:rPr>
        <w:t>7.27%</w:t>
      </w:r>
      <w:r>
        <w:rPr>
          <w:rFonts w:ascii="Source Sans Pro" w:eastAsia="標楷體" w:hAnsi="Source Sans Pro" w:hint="eastAsia"/>
          <w:sz w:val="28"/>
          <w:szCs w:val="28"/>
        </w:rPr>
        <w:t>）</w:t>
      </w:r>
      <w:r>
        <w:rPr>
          <w:rFonts w:ascii="Source Sans Pro" w:eastAsia="標楷體" w:hAnsi="Source Sans Pro"/>
          <w:sz w:val="28"/>
          <w:szCs w:val="28"/>
        </w:rPr>
        <w:t>、</w:t>
      </w:r>
      <w:r>
        <w:rPr>
          <w:rFonts w:ascii="Source Sans Pro" w:eastAsia="標楷體" w:hAnsi="Source Sans Pro" w:hint="eastAsia"/>
          <w:sz w:val="28"/>
          <w:szCs w:val="28"/>
        </w:rPr>
        <w:t>亞洲（全部幣別</w:t>
      </w:r>
      <w:r>
        <w:rPr>
          <w:rFonts w:ascii="Source Sans Pro" w:eastAsia="標楷體" w:hAnsi="Source Sans Pro" w:hint="eastAsia"/>
          <w:sz w:val="28"/>
          <w:szCs w:val="28"/>
        </w:rPr>
        <w:t>6.42%</w:t>
      </w:r>
      <w:r>
        <w:rPr>
          <w:rFonts w:ascii="Source Sans Pro" w:eastAsia="標楷體" w:hAnsi="Source Sans Pro" w:hint="eastAsia"/>
          <w:sz w:val="28"/>
          <w:szCs w:val="28"/>
        </w:rPr>
        <w:t>，台幣</w:t>
      </w:r>
      <w:r>
        <w:rPr>
          <w:rFonts w:ascii="Source Sans Pro" w:eastAsia="標楷體" w:hAnsi="Source Sans Pro" w:hint="eastAsia"/>
          <w:sz w:val="28"/>
          <w:szCs w:val="28"/>
        </w:rPr>
        <w:t>6.92%</w:t>
      </w:r>
      <w:r>
        <w:rPr>
          <w:rFonts w:ascii="Source Sans Pro" w:eastAsia="標楷體" w:hAnsi="Source Sans Pro" w:hint="eastAsia"/>
          <w:sz w:val="28"/>
          <w:szCs w:val="28"/>
        </w:rPr>
        <w:t>）</w:t>
      </w:r>
      <w:r>
        <w:rPr>
          <w:rFonts w:ascii="Source Sans Pro" w:eastAsia="標楷體" w:hAnsi="Source Sans Pro"/>
          <w:sz w:val="28"/>
          <w:szCs w:val="28"/>
        </w:rPr>
        <w:t>、</w:t>
      </w:r>
      <w:r>
        <w:rPr>
          <w:rFonts w:ascii="Source Sans Pro" w:eastAsia="標楷體" w:hAnsi="Source Sans Pro" w:hint="eastAsia"/>
          <w:sz w:val="28"/>
          <w:szCs w:val="28"/>
        </w:rPr>
        <w:t>全球型（全部幣別</w:t>
      </w:r>
      <w:r>
        <w:rPr>
          <w:rFonts w:ascii="Source Sans Pro" w:eastAsia="標楷體" w:hAnsi="Source Sans Pro" w:hint="eastAsia"/>
          <w:sz w:val="28"/>
          <w:szCs w:val="28"/>
        </w:rPr>
        <w:t>6.29%</w:t>
      </w:r>
      <w:r>
        <w:rPr>
          <w:rFonts w:ascii="Source Sans Pro" w:eastAsia="標楷體" w:hAnsi="Source Sans Pro" w:hint="eastAsia"/>
          <w:sz w:val="28"/>
          <w:szCs w:val="28"/>
        </w:rPr>
        <w:t>，台幣</w:t>
      </w:r>
      <w:r>
        <w:rPr>
          <w:rFonts w:ascii="Source Sans Pro" w:eastAsia="標楷體" w:hAnsi="Source Sans Pro" w:hint="eastAsia"/>
          <w:sz w:val="28"/>
          <w:szCs w:val="28"/>
        </w:rPr>
        <w:t>6.54%</w:t>
      </w:r>
      <w:r>
        <w:rPr>
          <w:rFonts w:ascii="Source Sans Pro" w:eastAsia="標楷體" w:hAnsi="Source Sans Pro" w:hint="eastAsia"/>
          <w:sz w:val="28"/>
          <w:szCs w:val="28"/>
        </w:rPr>
        <w:t>）</w:t>
      </w:r>
      <w:r>
        <w:rPr>
          <w:rFonts w:ascii="Source Sans Pro" w:eastAsia="標楷體" w:hAnsi="Source Sans Pro"/>
          <w:sz w:val="28"/>
          <w:szCs w:val="28"/>
        </w:rPr>
        <w:t>、</w:t>
      </w:r>
      <w:r>
        <w:rPr>
          <w:rFonts w:ascii="Source Sans Pro" w:eastAsia="標楷體" w:hAnsi="Source Sans Pro" w:hint="eastAsia"/>
          <w:sz w:val="28"/>
          <w:szCs w:val="28"/>
        </w:rPr>
        <w:t>台灣平衡型（價值股票型</w:t>
      </w:r>
      <w:r>
        <w:rPr>
          <w:rFonts w:ascii="Source Sans Pro" w:eastAsia="標楷體" w:hAnsi="Source Sans Pro" w:hint="eastAsia"/>
          <w:sz w:val="28"/>
          <w:szCs w:val="28"/>
        </w:rPr>
        <w:t>6.51%</w:t>
      </w:r>
      <w:r>
        <w:rPr>
          <w:rFonts w:ascii="Source Sans Pro" w:eastAsia="標楷體" w:hAnsi="Source Sans Pro" w:hint="eastAsia"/>
          <w:sz w:val="28"/>
          <w:szCs w:val="28"/>
        </w:rPr>
        <w:t>，一般股票型</w:t>
      </w:r>
      <w:r>
        <w:rPr>
          <w:rFonts w:ascii="Source Sans Pro" w:eastAsia="標楷體" w:hAnsi="Source Sans Pro" w:hint="eastAsia"/>
          <w:sz w:val="28"/>
          <w:szCs w:val="28"/>
        </w:rPr>
        <w:t>5.87%</w:t>
      </w:r>
      <w:r>
        <w:rPr>
          <w:rFonts w:ascii="Source Sans Pro" w:eastAsia="標楷體" w:hAnsi="Source Sans Pro" w:hint="eastAsia"/>
          <w:sz w:val="28"/>
          <w:szCs w:val="28"/>
        </w:rPr>
        <w:t>），平衡及多重資產型（全部幣別</w:t>
      </w:r>
      <w:r w:rsidR="00BF7581">
        <w:rPr>
          <w:rFonts w:ascii="Source Sans Pro" w:eastAsia="標楷體" w:hAnsi="Source Sans Pro" w:hint="eastAsia"/>
          <w:sz w:val="28"/>
          <w:szCs w:val="28"/>
        </w:rPr>
        <w:t>5.63</w:t>
      </w:r>
      <w:r>
        <w:rPr>
          <w:rFonts w:ascii="Source Sans Pro" w:eastAsia="標楷體" w:hAnsi="Source Sans Pro" w:hint="eastAsia"/>
          <w:sz w:val="28"/>
          <w:szCs w:val="28"/>
        </w:rPr>
        <w:t>%</w:t>
      </w:r>
      <w:r>
        <w:rPr>
          <w:rFonts w:ascii="Source Sans Pro" w:eastAsia="標楷體" w:hAnsi="Source Sans Pro" w:hint="eastAsia"/>
          <w:sz w:val="28"/>
          <w:szCs w:val="28"/>
        </w:rPr>
        <w:t>，台幣</w:t>
      </w:r>
      <w:r w:rsidR="00BF7581">
        <w:rPr>
          <w:rFonts w:ascii="Source Sans Pro" w:eastAsia="標楷體" w:hAnsi="Source Sans Pro" w:hint="eastAsia"/>
          <w:sz w:val="28"/>
          <w:szCs w:val="28"/>
        </w:rPr>
        <w:t>6.10</w:t>
      </w:r>
      <w:r>
        <w:rPr>
          <w:rFonts w:ascii="Source Sans Pro" w:eastAsia="標楷體" w:hAnsi="Source Sans Pro" w:hint="eastAsia"/>
          <w:sz w:val="28"/>
          <w:szCs w:val="28"/>
        </w:rPr>
        <w:t>%</w:t>
      </w:r>
      <w:r>
        <w:rPr>
          <w:rFonts w:ascii="Source Sans Pro" w:eastAsia="標楷體" w:hAnsi="Source Sans Pro" w:hint="eastAsia"/>
          <w:sz w:val="28"/>
          <w:szCs w:val="28"/>
        </w:rPr>
        <w:t>）</w:t>
      </w:r>
      <w:r w:rsidR="00BE6ECE">
        <w:rPr>
          <w:rFonts w:ascii="Source Sans Pro" w:eastAsia="標楷體" w:hAnsi="Source Sans Pro"/>
          <w:sz w:val="28"/>
          <w:szCs w:val="28"/>
        </w:rPr>
        <w:t>。</w:t>
      </w:r>
      <w:r>
        <w:rPr>
          <w:rFonts w:ascii="Source Sans Pro" w:eastAsia="標楷體" w:hAnsi="Source Sans Pro" w:hint="eastAsia"/>
          <w:sz w:val="28"/>
          <w:szCs w:val="28"/>
        </w:rPr>
        <w:t>值得一提的是，台灣平衡型基金今年前兩個月獲利平均已經彌補了去年的損失</w:t>
      </w:r>
      <w:r>
        <w:rPr>
          <w:rFonts w:ascii="Source Sans Pro" w:eastAsia="標楷體" w:hAnsi="Source Sans Pro"/>
          <w:sz w:val="28"/>
          <w:szCs w:val="28"/>
        </w:rPr>
        <w:t>。</w:t>
      </w:r>
      <w:r>
        <w:rPr>
          <w:rFonts w:ascii="Source Sans Pro" w:eastAsia="標楷體" w:hAnsi="Source Sans Pro" w:hint="eastAsia"/>
          <w:sz w:val="28"/>
          <w:szCs w:val="28"/>
        </w:rPr>
        <w:t>不動產證券化基金表現出色</w:t>
      </w:r>
      <w:r w:rsidR="00986AD3">
        <w:rPr>
          <w:rFonts w:ascii="Source Sans Pro" w:eastAsia="標楷體" w:hAnsi="Source Sans Pro" w:hint="eastAsia"/>
          <w:sz w:val="28"/>
          <w:szCs w:val="28"/>
        </w:rPr>
        <w:t>（全部幣別</w:t>
      </w:r>
      <w:r>
        <w:rPr>
          <w:rFonts w:ascii="Source Sans Pro" w:eastAsia="標楷體" w:hAnsi="Source Sans Pro" w:hint="eastAsia"/>
          <w:sz w:val="28"/>
          <w:szCs w:val="28"/>
        </w:rPr>
        <w:t>8.30</w:t>
      </w:r>
      <w:r w:rsidR="00986AD3">
        <w:rPr>
          <w:rFonts w:ascii="Source Sans Pro" w:eastAsia="標楷體" w:hAnsi="Source Sans Pro" w:hint="eastAsia"/>
          <w:sz w:val="28"/>
          <w:szCs w:val="28"/>
        </w:rPr>
        <w:t>%</w:t>
      </w:r>
      <w:r w:rsidR="00986AD3">
        <w:rPr>
          <w:rFonts w:ascii="Source Sans Pro" w:eastAsia="標楷體" w:hAnsi="Source Sans Pro" w:hint="eastAsia"/>
          <w:sz w:val="28"/>
          <w:szCs w:val="28"/>
        </w:rPr>
        <w:t>，台幣</w:t>
      </w:r>
      <w:r>
        <w:rPr>
          <w:rFonts w:ascii="Source Sans Pro" w:eastAsia="標楷體" w:hAnsi="Source Sans Pro" w:hint="eastAsia"/>
          <w:sz w:val="28"/>
          <w:szCs w:val="28"/>
        </w:rPr>
        <w:t>8.81</w:t>
      </w:r>
      <w:r w:rsidR="00986AD3">
        <w:rPr>
          <w:rFonts w:ascii="Source Sans Pro" w:eastAsia="標楷體" w:hAnsi="Source Sans Pro" w:hint="eastAsia"/>
          <w:sz w:val="28"/>
          <w:szCs w:val="28"/>
        </w:rPr>
        <w:t>%</w:t>
      </w:r>
      <w:r w:rsidR="00986AD3">
        <w:rPr>
          <w:rFonts w:ascii="Source Sans Pro" w:eastAsia="標楷體" w:hAnsi="Source Sans Pro" w:hint="eastAsia"/>
          <w:sz w:val="28"/>
          <w:szCs w:val="28"/>
        </w:rPr>
        <w:t>）</w:t>
      </w:r>
      <w:r>
        <w:rPr>
          <w:rFonts w:ascii="Source Sans Pro" w:eastAsia="標楷體" w:hAnsi="Source Sans Pro" w:hint="eastAsia"/>
          <w:sz w:val="28"/>
          <w:szCs w:val="28"/>
        </w:rPr>
        <w:t>，已超過</w:t>
      </w:r>
      <w:r>
        <w:rPr>
          <w:rFonts w:ascii="Source Sans Pro" w:eastAsia="標楷體" w:hAnsi="Source Sans Pro" w:hint="eastAsia"/>
          <w:sz w:val="28"/>
          <w:szCs w:val="28"/>
        </w:rPr>
        <w:t>2018</w:t>
      </w:r>
      <w:r>
        <w:rPr>
          <w:rFonts w:ascii="Source Sans Pro" w:eastAsia="標楷體" w:hAnsi="Source Sans Pro" w:hint="eastAsia"/>
          <w:sz w:val="28"/>
          <w:szCs w:val="28"/>
        </w:rPr>
        <w:t>年損失</w:t>
      </w:r>
      <w:r w:rsidR="00DF1523">
        <w:rPr>
          <w:rFonts w:ascii="Source Sans Pro" w:eastAsia="標楷體" w:hAnsi="Source Sans Pro" w:hint="eastAsia"/>
          <w:sz w:val="28"/>
          <w:szCs w:val="28"/>
        </w:rPr>
        <w:t>（</w:t>
      </w:r>
      <w:r w:rsidR="00BF7581">
        <w:rPr>
          <w:rFonts w:ascii="Source Sans Pro" w:eastAsia="標楷體" w:hAnsi="Source Sans Pro" w:hint="eastAsia"/>
          <w:sz w:val="28"/>
          <w:szCs w:val="28"/>
        </w:rPr>
        <w:t>全部幣別</w:t>
      </w:r>
      <w:r w:rsidR="00BF7581">
        <w:rPr>
          <w:rFonts w:ascii="Source Sans Pro" w:eastAsia="標楷體" w:hAnsi="Source Sans Pro" w:hint="eastAsia"/>
          <w:sz w:val="28"/>
          <w:szCs w:val="28"/>
        </w:rPr>
        <w:t>-5.15%</w:t>
      </w:r>
      <w:r w:rsidR="00BF7581">
        <w:rPr>
          <w:rFonts w:ascii="Source Sans Pro" w:eastAsia="標楷體" w:hAnsi="Source Sans Pro" w:hint="eastAsia"/>
          <w:sz w:val="28"/>
          <w:szCs w:val="28"/>
        </w:rPr>
        <w:t>，台幣</w:t>
      </w:r>
      <w:r w:rsidR="00BF7581">
        <w:rPr>
          <w:rFonts w:ascii="Source Sans Pro" w:eastAsia="標楷體" w:hAnsi="Source Sans Pro" w:hint="eastAsia"/>
          <w:sz w:val="28"/>
          <w:szCs w:val="28"/>
        </w:rPr>
        <w:t>-5.06%</w:t>
      </w:r>
      <w:r w:rsidR="00DF1523">
        <w:rPr>
          <w:rFonts w:ascii="Source Sans Pro" w:eastAsia="標楷體" w:hAnsi="Source Sans Pro" w:hint="eastAsia"/>
          <w:sz w:val="28"/>
          <w:szCs w:val="28"/>
        </w:rPr>
        <w:t>）</w:t>
      </w:r>
      <w:r>
        <w:rPr>
          <w:rFonts w:ascii="Source Sans Pro" w:eastAsia="標楷體" w:hAnsi="Source Sans Pro"/>
          <w:sz w:val="28"/>
          <w:szCs w:val="28"/>
        </w:rPr>
        <w:t>。</w:t>
      </w:r>
    </w:p>
    <w:p w:rsidR="003E1BB9" w:rsidRPr="00DF1523" w:rsidRDefault="003E1BB9" w:rsidP="00731E8B">
      <w:pPr>
        <w:spacing w:beforeLines="50" w:before="180" w:afterLines="50" w:after="180"/>
        <w:rPr>
          <w:rFonts w:ascii="Source Sans Pro" w:eastAsia="標楷體" w:hAnsi="Source Sans Pro" w:hint="eastAsia"/>
          <w:sz w:val="28"/>
          <w:szCs w:val="28"/>
        </w:rPr>
      </w:pPr>
    </w:p>
    <w:sectPr w:rsidR="003E1BB9" w:rsidRPr="00DF15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E5" w:rsidRDefault="00C827E5" w:rsidP="002C75AE">
      <w:r>
        <w:separator/>
      </w:r>
    </w:p>
  </w:endnote>
  <w:endnote w:type="continuationSeparator" w:id="0">
    <w:p w:rsidR="00C827E5" w:rsidRDefault="00C827E5" w:rsidP="002C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ource Sans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E5" w:rsidRDefault="00C827E5" w:rsidP="002C75AE">
      <w:r>
        <w:separator/>
      </w:r>
    </w:p>
  </w:footnote>
  <w:footnote w:type="continuationSeparator" w:id="0">
    <w:p w:rsidR="00C827E5" w:rsidRDefault="00C827E5" w:rsidP="002C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88"/>
    <w:rsid w:val="000131B4"/>
    <w:rsid w:val="00020FB1"/>
    <w:rsid w:val="00022B4B"/>
    <w:rsid w:val="00024CEF"/>
    <w:rsid w:val="00045DE6"/>
    <w:rsid w:val="00047145"/>
    <w:rsid w:val="000518D7"/>
    <w:rsid w:val="00060310"/>
    <w:rsid w:val="00060A5E"/>
    <w:rsid w:val="0006249C"/>
    <w:rsid w:val="00063187"/>
    <w:rsid w:val="00064E97"/>
    <w:rsid w:val="00067303"/>
    <w:rsid w:val="0007188F"/>
    <w:rsid w:val="00085FAE"/>
    <w:rsid w:val="00090723"/>
    <w:rsid w:val="00095603"/>
    <w:rsid w:val="000A0C02"/>
    <w:rsid w:val="000C07CC"/>
    <w:rsid w:val="000D16B7"/>
    <w:rsid w:val="000D2A6E"/>
    <w:rsid w:val="000D497D"/>
    <w:rsid w:val="000F1856"/>
    <w:rsid w:val="000F251C"/>
    <w:rsid w:val="001047CF"/>
    <w:rsid w:val="001063F4"/>
    <w:rsid w:val="00117588"/>
    <w:rsid w:val="001251A4"/>
    <w:rsid w:val="001352EA"/>
    <w:rsid w:val="00136A41"/>
    <w:rsid w:val="00155111"/>
    <w:rsid w:val="00173B72"/>
    <w:rsid w:val="001A5C22"/>
    <w:rsid w:val="001C7946"/>
    <w:rsid w:val="001E2727"/>
    <w:rsid w:val="002003E8"/>
    <w:rsid w:val="0020528D"/>
    <w:rsid w:val="00211D4A"/>
    <w:rsid w:val="00214BFD"/>
    <w:rsid w:val="00216F45"/>
    <w:rsid w:val="00225328"/>
    <w:rsid w:val="00227E3F"/>
    <w:rsid w:val="002433C4"/>
    <w:rsid w:val="002518C7"/>
    <w:rsid w:val="00260ACD"/>
    <w:rsid w:val="00274B00"/>
    <w:rsid w:val="002773BF"/>
    <w:rsid w:val="0028311F"/>
    <w:rsid w:val="00291A8D"/>
    <w:rsid w:val="00292611"/>
    <w:rsid w:val="00294B29"/>
    <w:rsid w:val="002A2B43"/>
    <w:rsid w:val="002C75AE"/>
    <w:rsid w:val="002E116E"/>
    <w:rsid w:val="002E5D07"/>
    <w:rsid w:val="00302838"/>
    <w:rsid w:val="0031085F"/>
    <w:rsid w:val="003171D9"/>
    <w:rsid w:val="0034152C"/>
    <w:rsid w:val="00350ED4"/>
    <w:rsid w:val="00351846"/>
    <w:rsid w:val="003607FE"/>
    <w:rsid w:val="00363C66"/>
    <w:rsid w:val="003656C4"/>
    <w:rsid w:val="00383448"/>
    <w:rsid w:val="00386E8F"/>
    <w:rsid w:val="003A0151"/>
    <w:rsid w:val="003B1616"/>
    <w:rsid w:val="003C439B"/>
    <w:rsid w:val="003C550A"/>
    <w:rsid w:val="003D3AF9"/>
    <w:rsid w:val="003E1BB9"/>
    <w:rsid w:val="00405B20"/>
    <w:rsid w:val="00427567"/>
    <w:rsid w:val="00437196"/>
    <w:rsid w:val="00454E66"/>
    <w:rsid w:val="00497580"/>
    <w:rsid w:val="004C497F"/>
    <w:rsid w:val="004E7C9F"/>
    <w:rsid w:val="004F1154"/>
    <w:rsid w:val="00500386"/>
    <w:rsid w:val="00527902"/>
    <w:rsid w:val="00530C7B"/>
    <w:rsid w:val="00532AF4"/>
    <w:rsid w:val="0054378F"/>
    <w:rsid w:val="00544D91"/>
    <w:rsid w:val="00545C00"/>
    <w:rsid w:val="00556262"/>
    <w:rsid w:val="00556BD5"/>
    <w:rsid w:val="00562B2F"/>
    <w:rsid w:val="00563AF4"/>
    <w:rsid w:val="005751E3"/>
    <w:rsid w:val="00575C77"/>
    <w:rsid w:val="0057702E"/>
    <w:rsid w:val="005A7CF5"/>
    <w:rsid w:val="005F55FE"/>
    <w:rsid w:val="00601399"/>
    <w:rsid w:val="00603590"/>
    <w:rsid w:val="006119ED"/>
    <w:rsid w:val="00621F5D"/>
    <w:rsid w:val="006273F5"/>
    <w:rsid w:val="00627F43"/>
    <w:rsid w:val="00643ACE"/>
    <w:rsid w:val="00666F90"/>
    <w:rsid w:val="006824F3"/>
    <w:rsid w:val="00693AFA"/>
    <w:rsid w:val="006B1FFD"/>
    <w:rsid w:val="006D1CD8"/>
    <w:rsid w:val="006D493A"/>
    <w:rsid w:val="006E073A"/>
    <w:rsid w:val="006E5AC6"/>
    <w:rsid w:val="006F751B"/>
    <w:rsid w:val="00700829"/>
    <w:rsid w:val="007072F0"/>
    <w:rsid w:val="007173A9"/>
    <w:rsid w:val="00731E8B"/>
    <w:rsid w:val="00736B3F"/>
    <w:rsid w:val="007432F2"/>
    <w:rsid w:val="007644CB"/>
    <w:rsid w:val="00765EE4"/>
    <w:rsid w:val="007745AA"/>
    <w:rsid w:val="0078377F"/>
    <w:rsid w:val="00794FCC"/>
    <w:rsid w:val="007A61FC"/>
    <w:rsid w:val="007B3160"/>
    <w:rsid w:val="007C2806"/>
    <w:rsid w:val="007D6571"/>
    <w:rsid w:val="007D6F16"/>
    <w:rsid w:val="007E67CC"/>
    <w:rsid w:val="008160FE"/>
    <w:rsid w:val="00823DF3"/>
    <w:rsid w:val="00827BB6"/>
    <w:rsid w:val="00833591"/>
    <w:rsid w:val="00845D5C"/>
    <w:rsid w:val="0086012B"/>
    <w:rsid w:val="00863368"/>
    <w:rsid w:val="008732FA"/>
    <w:rsid w:val="008A142F"/>
    <w:rsid w:val="008A7B08"/>
    <w:rsid w:val="008B27F8"/>
    <w:rsid w:val="008B60F2"/>
    <w:rsid w:val="008C2451"/>
    <w:rsid w:val="008D1AF3"/>
    <w:rsid w:val="008D2690"/>
    <w:rsid w:val="008D6350"/>
    <w:rsid w:val="008E06B5"/>
    <w:rsid w:val="008E4E0A"/>
    <w:rsid w:val="008F7A12"/>
    <w:rsid w:val="0090494C"/>
    <w:rsid w:val="00907672"/>
    <w:rsid w:val="009076AF"/>
    <w:rsid w:val="00911A56"/>
    <w:rsid w:val="00930913"/>
    <w:rsid w:val="00930925"/>
    <w:rsid w:val="0093117F"/>
    <w:rsid w:val="009415D4"/>
    <w:rsid w:val="009521CD"/>
    <w:rsid w:val="00954B79"/>
    <w:rsid w:val="009576A5"/>
    <w:rsid w:val="0096357A"/>
    <w:rsid w:val="0096403B"/>
    <w:rsid w:val="00964069"/>
    <w:rsid w:val="009864A3"/>
    <w:rsid w:val="00986AD3"/>
    <w:rsid w:val="00991F26"/>
    <w:rsid w:val="009A22FF"/>
    <w:rsid w:val="009A249D"/>
    <w:rsid w:val="009C3396"/>
    <w:rsid w:val="009D1DE5"/>
    <w:rsid w:val="009D4AE1"/>
    <w:rsid w:val="009E4D17"/>
    <w:rsid w:val="009E58A9"/>
    <w:rsid w:val="00A04978"/>
    <w:rsid w:val="00A22E8F"/>
    <w:rsid w:val="00A26933"/>
    <w:rsid w:val="00A42953"/>
    <w:rsid w:val="00A502FF"/>
    <w:rsid w:val="00A55812"/>
    <w:rsid w:val="00A65F41"/>
    <w:rsid w:val="00A80DD1"/>
    <w:rsid w:val="00A86267"/>
    <w:rsid w:val="00A90BF7"/>
    <w:rsid w:val="00A97191"/>
    <w:rsid w:val="00AA2981"/>
    <w:rsid w:val="00AB2292"/>
    <w:rsid w:val="00AB5195"/>
    <w:rsid w:val="00AC028E"/>
    <w:rsid w:val="00AC137B"/>
    <w:rsid w:val="00AF00A6"/>
    <w:rsid w:val="00AF5325"/>
    <w:rsid w:val="00B43A42"/>
    <w:rsid w:val="00B43FC7"/>
    <w:rsid w:val="00B56ABA"/>
    <w:rsid w:val="00B66C8C"/>
    <w:rsid w:val="00BA114F"/>
    <w:rsid w:val="00BA2690"/>
    <w:rsid w:val="00BB6284"/>
    <w:rsid w:val="00BB68BA"/>
    <w:rsid w:val="00BE6ECE"/>
    <w:rsid w:val="00BF7581"/>
    <w:rsid w:val="00C17678"/>
    <w:rsid w:val="00C23DFF"/>
    <w:rsid w:val="00C25974"/>
    <w:rsid w:val="00C359A2"/>
    <w:rsid w:val="00C41FAF"/>
    <w:rsid w:val="00C43FB2"/>
    <w:rsid w:val="00C55339"/>
    <w:rsid w:val="00C56ED3"/>
    <w:rsid w:val="00C672B6"/>
    <w:rsid w:val="00C827E5"/>
    <w:rsid w:val="00C8744C"/>
    <w:rsid w:val="00C91813"/>
    <w:rsid w:val="00C921FC"/>
    <w:rsid w:val="00CA0F2B"/>
    <w:rsid w:val="00CA48FB"/>
    <w:rsid w:val="00CB52F4"/>
    <w:rsid w:val="00CC14C5"/>
    <w:rsid w:val="00D12608"/>
    <w:rsid w:val="00D16195"/>
    <w:rsid w:val="00D17785"/>
    <w:rsid w:val="00D31F7F"/>
    <w:rsid w:val="00D322CB"/>
    <w:rsid w:val="00D43906"/>
    <w:rsid w:val="00D53F9D"/>
    <w:rsid w:val="00DA7822"/>
    <w:rsid w:val="00DB3BF6"/>
    <w:rsid w:val="00DC12BA"/>
    <w:rsid w:val="00DD09E4"/>
    <w:rsid w:val="00DD2EBA"/>
    <w:rsid w:val="00DE5AF9"/>
    <w:rsid w:val="00DF1523"/>
    <w:rsid w:val="00E1024E"/>
    <w:rsid w:val="00E1226D"/>
    <w:rsid w:val="00E1383F"/>
    <w:rsid w:val="00E47564"/>
    <w:rsid w:val="00E502CB"/>
    <w:rsid w:val="00E52EBD"/>
    <w:rsid w:val="00E54BFE"/>
    <w:rsid w:val="00E61039"/>
    <w:rsid w:val="00E75617"/>
    <w:rsid w:val="00E81FD3"/>
    <w:rsid w:val="00E869CA"/>
    <w:rsid w:val="00EA2296"/>
    <w:rsid w:val="00EB3720"/>
    <w:rsid w:val="00EE1055"/>
    <w:rsid w:val="00EF7FAD"/>
    <w:rsid w:val="00F257BA"/>
    <w:rsid w:val="00F25E7C"/>
    <w:rsid w:val="00F371CA"/>
    <w:rsid w:val="00F741B5"/>
    <w:rsid w:val="00F75FF7"/>
    <w:rsid w:val="00F923B8"/>
    <w:rsid w:val="00F93D58"/>
    <w:rsid w:val="00FA1FAB"/>
    <w:rsid w:val="00FC078A"/>
    <w:rsid w:val="00FF43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A818"/>
  <w15:docId w15:val="{16B9F670-0478-426B-BE8F-1C65899B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5AE"/>
    <w:pPr>
      <w:tabs>
        <w:tab w:val="center" w:pos="4153"/>
        <w:tab w:val="right" w:pos="8306"/>
      </w:tabs>
      <w:snapToGrid w:val="0"/>
    </w:pPr>
    <w:rPr>
      <w:sz w:val="20"/>
      <w:szCs w:val="20"/>
    </w:rPr>
  </w:style>
  <w:style w:type="character" w:customStyle="1" w:styleId="a4">
    <w:name w:val="頁首 字元"/>
    <w:basedOn w:val="a0"/>
    <w:link w:val="a3"/>
    <w:uiPriority w:val="99"/>
    <w:rsid w:val="002C75AE"/>
    <w:rPr>
      <w:noProof/>
      <w:sz w:val="20"/>
      <w:szCs w:val="20"/>
    </w:rPr>
  </w:style>
  <w:style w:type="paragraph" w:styleId="a5">
    <w:name w:val="footer"/>
    <w:basedOn w:val="a"/>
    <w:link w:val="a6"/>
    <w:uiPriority w:val="99"/>
    <w:unhideWhenUsed/>
    <w:rsid w:val="002C75AE"/>
    <w:pPr>
      <w:tabs>
        <w:tab w:val="center" w:pos="4153"/>
        <w:tab w:val="right" w:pos="8306"/>
      </w:tabs>
      <w:snapToGrid w:val="0"/>
    </w:pPr>
    <w:rPr>
      <w:sz w:val="20"/>
      <w:szCs w:val="20"/>
    </w:rPr>
  </w:style>
  <w:style w:type="character" w:customStyle="1" w:styleId="a6">
    <w:name w:val="頁尾 字元"/>
    <w:basedOn w:val="a0"/>
    <w:link w:val="a5"/>
    <w:uiPriority w:val="99"/>
    <w:rsid w:val="002C75AE"/>
    <w:rPr>
      <w:noProof/>
      <w:sz w:val="20"/>
      <w:szCs w:val="20"/>
    </w:rPr>
  </w:style>
  <w:style w:type="paragraph" w:styleId="a7">
    <w:name w:val="Balloon Text"/>
    <w:basedOn w:val="a"/>
    <w:link w:val="a8"/>
    <w:uiPriority w:val="99"/>
    <w:semiHidden/>
    <w:unhideWhenUsed/>
    <w:rsid w:val="00C359A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359A2"/>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使用者</cp:lastModifiedBy>
  <cp:revision>176</cp:revision>
  <cp:lastPrinted>2019-01-08T02:30:00Z</cp:lastPrinted>
  <dcterms:created xsi:type="dcterms:W3CDTF">2016-11-06T12:25:00Z</dcterms:created>
  <dcterms:modified xsi:type="dcterms:W3CDTF">2019-03-08T06:09:00Z</dcterms:modified>
</cp:coreProperties>
</file>