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38" w:rsidRPr="008D229E" w:rsidRDefault="007A280F" w:rsidP="00AF795E">
      <w:pPr>
        <w:jc w:val="center"/>
        <w:rPr>
          <w:rFonts w:ascii="標楷體" w:eastAsia="標楷體" w:hAnsi="標楷體"/>
          <w:b/>
          <w:sz w:val="32"/>
        </w:rPr>
      </w:pPr>
      <w:r w:rsidRPr="008D229E">
        <w:rPr>
          <w:rFonts w:ascii="標楷體" w:eastAsia="標楷體" w:hAnsi="標楷體" w:hint="eastAsia"/>
          <w:b/>
          <w:sz w:val="32"/>
        </w:rPr>
        <w:t>國內股票型基金11月績效紅通通</w:t>
      </w:r>
    </w:p>
    <w:p w:rsidR="00AF795E" w:rsidRPr="008D229E" w:rsidRDefault="00AF795E" w:rsidP="00AF795E">
      <w:pPr>
        <w:jc w:val="center"/>
        <w:rPr>
          <w:rFonts w:ascii="標楷體" w:eastAsia="標楷體" w:hAnsi="標楷體"/>
          <w:b/>
          <w:sz w:val="32"/>
        </w:rPr>
      </w:pPr>
      <w:r w:rsidRPr="008D229E">
        <w:rPr>
          <w:rFonts w:ascii="標楷體" w:eastAsia="標楷體" w:hAnsi="標楷體" w:hint="eastAsia"/>
          <w:b/>
          <w:sz w:val="32"/>
        </w:rPr>
        <w:t>李存修 邱顯比</w:t>
      </w:r>
    </w:p>
    <w:p w:rsidR="00AF795E" w:rsidRPr="008D229E" w:rsidRDefault="00526C07" w:rsidP="002E1013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r w:rsidRPr="008D229E">
        <w:rPr>
          <w:rFonts w:ascii="標楷體" w:eastAsia="標楷體" w:hAnsi="標楷體" w:hint="eastAsia"/>
          <w:szCs w:val="28"/>
        </w:rPr>
        <w:t>11月的美國大選總算落幕，消除政治上的不確定性，為股市添加了柴火。雖然入冬之後病毒活動力增強，各國COVID-19</w:t>
      </w:r>
      <w:proofErr w:type="gramStart"/>
      <w:r w:rsidRPr="008D229E">
        <w:rPr>
          <w:rFonts w:ascii="標楷體" w:eastAsia="標楷體" w:hAnsi="標楷體" w:hint="eastAsia"/>
          <w:szCs w:val="28"/>
        </w:rPr>
        <w:t>疫情再</w:t>
      </w:r>
      <w:proofErr w:type="gramEnd"/>
      <w:r w:rsidRPr="008D229E">
        <w:rPr>
          <w:rFonts w:ascii="標楷體" w:eastAsia="標楷體" w:hAnsi="標楷體" w:hint="eastAsia"/>
          <w:szCs w:val="28"/>
        </w:rPr>
        <w:t>起，但有</w:t>
      </w:r>
      <w:r w:rsidR="00B66BDB" w:rsidRPr="008D229E">
        <w:rPr>
          <w:rFonts w:ascii="標楷體" w:eastAsia="標楷體" w:hAnsi="標楷體" w:hint="eastAsia"/>
          <w:szCs w:val="28"/>
        </w:rPr>
        <w:t>了今年初的經驗、應變及管制措施迅速推出，倒也不再引起市場的</w:t>
      </w:r>
      <w:proofErr w:type="gramStart"/>
      <w:r w:rsidR="00B66BDB" w:rsidRPr="008D229E">
        <w:rPr>
          <w:rFonts w:ascii="標楷體" w:eastAsia="標楷體" w:hAnsi="標楷體" w:hint="eastAsia"/>
          <w:szCs w:val="28"/>
        </w:rPr>
        <w:t>恐慌，</w:t>
      </w:r>
      <w:proofErr w:type="gramEnd"/>
      <w:r w:rsidR="00B66BDB" w:rsidRPr="008D229E">
        <w:rPr>
          <w:rFonts w:ascii="標楷體" w:eastAsia="標楷體" w:hAnsi="標楷體" w:hint="eastAsia"/>
          <w:szCs w:val="28"/>
        </w:rPr>
        <w:t>加上疫苗的研發好消息頻傳，對明年的經濟復甦樂觀期待，使得11月分中全球股市一片大好，MSCI世界指數(含息)單月上揚了12.36%，尤以歐洲地區股市反彈最為強勁，MSCI歐洲指數</w:t>
      </w:r>
      <w:r w:rsidR="002E1013" w:rsidRPr="008D229E">
        <w:rPr>
          <w:rFonts w:ascii="標楷體" w:eastAsia="標楷體" w:hAnsi="標楷體" w:hint="eastAsia"/>
          <w:szCs w:val="28"/>
        </w:rPr>
        <w:t>狂漲20.66%，美國S&amp;P 500與MSCI新興市場指數也分別進帳10.75%與9.25%。台股也不</w:t>
      </w:r>
      <w:proofErr w:type="gramStart"/>
      <w:r w:rsidR="002E1013" w:rsidRPr="008D229E">
        <w:rPr>
          <w:rFonts w:ascii="標楷體" w:eastAsia="標楷體" w:hAnsi="標楷體" w:hint="eastAsia"/>
          <w:szCs w:val="28"/>
        </w:rPr>
        <w:t>遑</w:t>
      </w:r>
      <w:proofErr w:type="gramEnd"/>
      <w:r w:rsidR="002E1013" w:rsidRPr="008D229E">
        <w:rPr>
          <w:rFonts w:ascii="標楷體" w:eastAsia="標楷體" w:hAnsi="標楷體" w:hint="eastAsia"/>
          <w:szCs w:val="28"/>
        </w:rPr>
        <w:t>多讓，加權股價報酬指數9.38%、OTC報酬指數9.08%、電子報酬指數10.32%等均約略與全球同步翻揚。</w:t>
      </w:r>
    </w:p>
    <w:p w:rsidR="002E1013" w:rsidRPr="008D229E" w:rsidRDefault="006720A6" w:rsidP="002E1013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r w:rsidRPr="008D229E">
        <w:rPr>
          <w:rFonts w:ascii="標楷體" w:eastAsia="標楷體" w:hAnsi="標楷體" w:hint="eastAsia"/>
          <w:szCs w:val="28"/>
        </w:rPr>
        <w:t>而年初</w:t>
      </w:r>
      <w:proofErr w:type="gramStart"/>
      <w:r w:rsidRPr="008D229E">
        <w:rPr>
          <w:rFonts w:ascii="標楷體" w:eastAsia="標楷體" w:hAnsi="標楷體" w:hint="eastAsia"/>
          <w:szCs w:val="28"/>
        </w:rPr>
        <w:t>迄</w:t>
      </w:r>
      <w:proofErr w:type="gramEnd"/>
      <w:r w:rsidRPr="008D229E">
        <w:rPr>
          <w:rFonts w:ascii="標楷體" w:eastAsia="標楷體" w:hAnsi="標楷體" w:hint="eastAsia"/>
          <w:szCs w:val="28"/>
        </w:rPr>
        <w:t>11月底MSCI世界指數(含息)累積上揚11.6%，全數是在11月中賺來的；歐洲指數的累積報酬僅0.76%，表示11月的大漲把前10個月的虧損一舉賺回來；S&amp;P 500指數與</w:t>
      </w:r>
      <w:r w:rsidR="00200EE1">
        <w:rPr>
          <w:rFonts w:ascii="標楷體" w:eastAsia="標楷體" w:hAnsi="標楷體" w:hint="eastAsia"/>
          <w:szCs w:val="28"/>
        </w:rPr>
        <w:t>MSCI</w:t>
      </w:r>
      <w:r w:rsidRPr="008D229E">
        <w:rPr>
          <w:rFonts w:ascii="標楷體" w:eastAsia="標楷體" w:hAnsi="標楷體" w:hint="eastAsia"/>
          <w:szCs w:val="28"/>
        </w:rPr>
        <w:t>新興市場指數累計在12.1%及10.51%，也大部分是11月貢獻的。台股加權股價報酬指數前11個月累積18.23%，11月的貢獻約占一半，電子產業仍是最強勢的族群，電子報酬指數累積29.49%，OTC報酬指數累積也達21.91%，均名列全球前茅。</w:t>
      </w:r>
    </w:p>
    <w:p w:rsidR="006720A6" w:rsidRPr="008D229E" w:rsidRDefault="00BA39ED" w:rsidP="002E1013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r w:rsidRPr="008D229E">
        <w:rPr>
          <w:rFonts w:ascii="標楷體" w:eastAsia="標楷體" w:hAnsi="標楷體" w:hint="eastAsia"/>
          <w:szCs w:val="28"/>
        </w:rPr>
        <w:t>就11月份單月來看，投資國內股市的190檔基金平均獲利9.58%，各子類型最少也有7.32%的進帳(價值型)，科技類仍然是表現最好的子類，單月獲利10.44%(若納入ETF，則四</w:t>
      </w:r>
      <w:proofErr w:type="gramStart"/>
      <w:r w:rsidRPr="008D229E">
        <w:rPr>
          <w:rFonts w:ascii="標楷體" w:eastAsia="標楷體" w:hAnsi="標楷體" w:hint="eastAsia"/>
          <w:szCs w:val="28"/>
        </w:rPr>
        <w:t>檔單日</w:t>
      </w:r>
      <w:proofErr w:type="gramEnd"/>
      <w:r w:rsidRPr="008D229E">
        <w:rPr>
          <w:rFonts w:ascii="標楷體" w:eastAsia="標楷體" w:hAnsi="標楷體" w:hint="eastAsia"/>
          <w:szCs w:val="28"/>
        </w:rPr>
        <w:t>正向二倍的ETF平均月報酬</w:t>
      </w:r>
      <w:r w:rsidR="00EA273F" w:rsidRPr="008D229E">
        <w:rPr>
          <w:rFonts w:ascii="標楷體" w:eastAsia="標楷體" w:hAnsi="標楷體" w:hint="eastAsia"/>
          <w:szCs w:val="28"/>
        </w:rPr>
        <w:t>達22.69%)，</w:t>
      </w:r>
      <w:proofErr w:type="gramStart"/>
      <w:r w:rsidR="00EA273F" w:rsidRPr="008D229E">
        <w:rPr>
          <w:rFonts w:ascii="標楷體" w:eastAsia="標楷體" w:hAnsi="標楷體" w:hint="eastAsia"/>
          <w:szCs w:val="28"/>
        </w:rPr>
        <w:t>可說是近年來</w:t>
      </w:r>
      <w:proofErr w:type="gramEnd"/>
      <w:r w:rsidR="00EA273F" w:rsidRPr="008D229E">
        <w:rPr>
          <w:rFonts w:ascii="標楷體" w:eastAsia="標楷體" w:hAnsi="標楷體" w:hint="eastAsia"/>
          <w:szCs w:val="28"/>
        </w:rPr>
        <w:t>罕見的單月佳績(僅次於今年四月的14.64%)。</w:t>
      </w:r>
    </w:p>
    <w:p w:rsidR="001A4620" w:rsidRPr="008D229E" w:rsidRDefault="00EA273F" w:rsidP="00C73639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r w:rsidRPr="008D229E">
        <w:rPr>
          <w:rFonts w:ascii="標楷體" w:eastAsia="標楷體" w:hAnsi="標楷體" w:hint="eastAsia"/>
          <w:szCs w:val="28"/>
        </w:rPr>
        <w:t>跨國投資的股票型基金11月的表現也是一樣出色，</w:t>
      </w:r>
      <w:r w:rsidR="00C73639" w:rsidRPr="008D229E">
        <w:rPr>
          <w:rFonts w:ascii="標楷體" w:eastAsia="標楷體" w:hAnsi="標楷體" w:hint="eastAsia"/>
          <w:szCs w:val="28"/>
        </w:rPr>
        <w:t>若不計槓桿型ETF</w:t>
      </w:r>
      <w:r w:rsidR="001A4620" w:rsidRPr="008D229E">
        <w:rPr>
          <w:rFonts w:ascii="標楷體" w:eastAsia="標楷體" w:hAnsi="標楷體" w:hint="eastAsia"/>
          <w:szCs w:val="28"/>
        </w:rPr>
        <w:t>，</w:t>
      </w:r>
      <w:r w:rsidR="00C73639" w:rsidRPr="008D229E">
        <w:rPr>
          <w:rFonts w:ascii="標楷體" w:eastAsia="標楷體" w:hAnsi="標楷體" w:hint="eastAsia"/>
          <w:szCs w:val="28"/>
        </w:rPr>
        <w:t>歐洲區域型(全部幣別，以下同)單月獲利達16.07%，但仍遜於MSCI歐洲指數的20.66%。WTI原油價格11月從38美元附近漲至45美元左右，造就了全球資源</w:t>
      </w:r>
      <w:r w:rsidR="00C73639" w:rsidRPr="008D229E">
        <w:rPr>
          <w:rFonts w:ascii="標楷體" w:eastAsia="標楷體" w:hAnsi="標楷體" w:hint="eastAsia"/>
          <w:szCs w:val="28"/>
        </w:rPr>
        <w:lastRenderedPageBreak/>
        <w:t>型基金也大漲12.13%，巴西與泰國的強漲，也成就了新興市場基金10.52%的漲幅。若考慮槓桿型ETF，則日本的單日正向二倍ETF單月</w:t>
      </w:r>
      <w:r w:rsidR="001A4620" w:rsidRPr="008D229E">
        <w:rPr>
          <w:rFonts w:ascii="標楷體" w:eastAsia="標楷體" w:hAnsi="標楷體" w:hint="eastAsia"/>
          <w:szCs w:val="28"/>
        </w:rPr>
        <w:t>更</w:t>
      </w:r>
      <w:proofErr w:type="gramStart"/>
      <w:r w:rsidR="001A4620" w:rsidRPr="008D229E">
        <w:rPr>
          <w:rFonts w:ascii="標楷體" w:eastAsia="標楷體" w:hAnsi="標楷體" w:hint="eastAsia"/>
          <w:szCs w:val="28"/>
        </w:rPr>
        <w:t>飆</w:t>
      </w:r>
      <w:proofErr w:type="gramEnd"/>
      <w:r w:rsidR="001A4620" w:rsidRPr="008D229E">
        <w:rPr>
          <w:rFonts w:ascii="標楷體" w:eastAsia="標楷體" w:hAnsi="標楷體" w:hint="eastAsia"/>
          <w:szCs w:val="28"/>
        </w:rPr>
        <w:t>高了24.35%。</w:t>
      </w:r>
    </w:p>
    <w:p w:rsidR="00EA273F" w:rsidRPr="008D229E" w:rsidRDefault="001A4620" w:rsidP="00C73639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r w:rsidRPr="008D229E">
        <w:rPr>
          <w:rFonts w:ascii="標楷體" w:eastAsia="標楷體" w:hAnsi="標楷體" w:hint="eastAsia"/>
          <w:szCs w:val="28"/>
        </w:rPr>
        <w:t>平衡型基金之單月績效(全部幣別)以新興市場區域型的9.98%最</w:t>
      </w:r>
      <w:r w:rsidR="00C73639" w:rsidRPr="008D229E">
        <w:rPr>
          <w:rFonts w:ascii="標楷體" w:eastAsia="標楷體" w:hAnsi="標楷體" w:hint="eastAsia"/>
          <w:szCs w:val="28"/>
        </w:rPr>
        <w:t>出色，其餘依序為國內一般股票之平衡型(7.09%)、全球平衡型(6.61%)與國內價值型股票之平衡型(6.48%)。至於多重資產型則有5.57%的進帳。</w:t>
      </w:r>
    </w:p>
    <w:p w:rsidR="00E501ED" w:rsidRPr="008D229E" w:rsidRDefault="00E501ED" w:rsidP="00C73639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r w:rsidRPr="008D229E">
        <w:rPr>
          <w:rFonts w:ascii="標楷體" w:eastAsia="標楷體" w:hAnsi="標楷體" w:hint="eastAsia"/>
          <w:szCs w:val="28"/>
        </w:rPr>
        <w:t>債券型基金在11月中也有不錯的表現，各類投資等級債(全部幣別，以下同)</w:t>
      </w:r>
      <w:proofErr w:type="gramStart"/>
      <w:r w:rsidRPr="008D229E">
        <w:rPr>
          <w:rFonts w:ascii="標楷體" w:eastAsia="標楷體" w:hAnsi="標楷體" w:hint="eastAsia"/>
          <w:szCs w:val="28"/>
        </w:rPr>
        <w:t>均有</w:t>
      </w:r>
      <w:proofErr w:type="gramEnd"/>
      <w:r w:rsidRPr="008D229E">
        <w:rPr>
          <w:rFonts w:ascii="標楷體" w:eastAsia="標楷體" w:hAnsi="標楷體" w:hint="eastAsia"/>
          <w:szCs w:val="28"/>
        </w:rPr>
        <w:t>0.95%至2.96%的單月獲利；各類高</w:t>
      </w:r>
      <w:proofErr w:type="gramStart"/>
      <w:r w:rsidRPr="008D229E">
        <w:rPr>
          <w:rFonts w:ascii="標楷體" w:eastAsia="標楷體" w:hAnsi="標楷體" w:hint="eastAsia"/>
          <w:szCs w:val="28"/>
        </w:rPr>
        <w:t>收益債則以</w:t>
      </w:r>
      <w:proofErr w:type="gramEnd"/>
      <w:r w:rsidRPr="008D229E">
        <w:rPr>
          <w:rFonts w:ascii="標楷體" w:eastAsia="標楷體" w:hAnsi="標楷體" w:hint="eastAsia"/>
          <w:szCs w:val="28"/>
        </w:rPr>
        <w:t>新興市場的4.48%最佳，全球型的3.43%居次，債券型ETF也有3.09%的表現。11月台幣升值大約僅0.3%，不至於吞掉債券型基金的獲利。至於56檔不動產證券化型基金平均獲利也高達7.72%。</w:t>
      </w:r>
    </w:p>
    <w:p w:rsidR="00E501ED" w:rsidRPr="008D229E" w:rsidRDefault="00305ADB" w:rsidP="00C73639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r w:rsidRPr="008D229E">
        <w:rPr>
          <w:rFonts w:ascii="標楷體" w:eastAsia="標楷體" w:hAnsi="標楷體" w:hint="eastAsia"/>
          <w:szCs w:val="28"/>
        </w:rPr>
        <w:t>年初</w:t>
      </w:r>
      <w:proofErr w:type="gramStart"/>
      <w:r w:rsidRPr="008D229E">
        <w:rPr>
          <w:rFonts w:ascii="標楷體" w:eastAsia="標楷體" w:hAnsi="標楷體" w:hint="eastAsia"/>
          <w:szCs w:val="28"/>
        </w:rPr>
        <w:t>迄</w:t>
      </w:r>
      <w:proofErr w:type="gramEnd"/>
      <w:r w:rsidRPr="008D229E">
        <w:rPr>
          <w:rFonts w:ascii="標楷體" w:eastAsia="標楷體" w:hAnsi="標楷體" w:hint="eastAsia"/>
          <w:szCs w:val="28"/>
        </w:rPr>
        <w:t>11月底投資國內的股票型基金平均獲利18.74%，近五成四的基金優於大盤，也有96.53%的基金有正報酬，除正向二倍槓桿平均累積獲利高達44.29之外，中小型、上櫃型、科技型是表現最好的子分類，累積獲利分別為21.63%、21.44%與20.82%。其中最出色的是野村優質基金-新</w:t>
      </w:r>
      <w:r w:rsidR="00E90D72">
        <w:rPr>
          <w:rFonts w:ascii="標楷體" w:eastAsia="標楷體" w:hAnsi="標楷體" w:hint="eastAsia"/>
          <w:szCs w:val="28"/>
        </w:rPr>
        <w:t>臺</w:t>
      </w:r>
      <w:r w:rsidRPr="008D229E">
        <w:rPr>
          <w:rFonts w:ascii="標楷體" w:eastAsia="標楷體" w:hAnsi="標楷體" w:hint="eastAsia"/>
          <w:szCs w:val="28"/>
        </w:rPr>
        <w:t>幣S，前11個月獲利已達47.32%，甚至優於所有正向二倍型ETF之報酬。</w:t>
      </w:r>
    </w:p>
    <w:p w:rsidR="00305ADB" w:rsidRPr="008D229E" w:rsidRDefault="00305ADB" w:rsidP="00C73639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r w:rsidRPr="008D229E">
        <w:rPr>
          <w:rFonts w:ascii="標楷體" w:eastAsia="標楷體" w:hAnsi="標楷體" w:hint="eastAsia"/>
          <w:szCs w:val="28"/>
        </w:rPr>
        <w:t>跨國投資的股票型基金平均前十一個月獲利15.46%，顯然資金行情蓋過了</w:t>
      </w:r>
      <w:proofErr w:type="gramStart"/>
      <w:r w:rsidRPr="008D229E">
        <w:rPr>
          <w:rFonts w:ascii="標楷體" w:eastAsia="標楷體" w:hAnsi="標楷體" w:hint="eastAsia"/>
          <w:szCs w:val="28"/>
        </w:rPr>
        <w:t>疫情的</w:t>
      </w:r>
      <w:proofErr w:type="gramEnd"/>
      <w:r w:rsidRPr="008D229E">
        <w:rPr>
          <w:rFonts w:ascii="標楷體" w:eastAsia="標楷體" w:hAnsi="標楷體" w:hint="eastAsia"/>
          <w:szCs w:val="28"/>
        </w:rPr>
        <w:t>負面影響。若不計ETF與指數型基金，年初</w:t>
      </w:r>
      <w:proofErr w:type="gramStart"/>
      <w:r w:rsidRPr="008D229E">
        <w:rPr>
          <w:rFonts w:ascii="標楷體" w:eastAsia="標楷體" w:hAnsi="標楷體" w:hint="eastAsia"/>
          <w:szCs w:val="28"/>
        </w:rPr>
        <w:t>迄</w:t>
      </w:r>
      <w:proofErr w:type="gramEnd"/>
      <w:r w:rsidRPr="008D229E">
        <w:rPr>
          <w:rFonts w:ascii="標楷體" w:eastAsia="標楷體" w:hAnsi="標楷體" w:hint="eastAsia"/>
          <w:szCs w:val="28"/>
        </w:rPr>
        <w:t>11月底的累積績效(全部幣別)以大中華區的32.99</w:t>
      </w:r>
      <w:r w:rsidR="001A4620" w:rsidRPr="008D229E">
        <w:rPr>
          <w:rFonts w:ascii="標楷體" w:eastAsia="標楷體" w:hAnsi="標楷體" w:hint="eastAsia"/>
          <w:szCs w:val="28"/>
        </w:rPr>
        <w:t>%</w:t>
      </w:r>
      <w:r w:rsidRPr="008D229E">
        <w:rPr>
          <w:rFonts w:ascii="標楷體" w:eastAsia="標楷體" w:hAnsi="標楷體" w:hint="eastAsia"/>
          <w:szCs w:val="28"/>
        </w:rPr>
        <w:t>最佳，其次為中國A股的30.79%，以及美國的27.19%。個別基金方面，</w:t>
      </w:r>
      <w:r w:rsidRPr="000228DD">
        <w:rPr>
          <w:rFonts w:ascii="標楷體" w:eastAsia="標楷體" w:hAnsi="標楷體" w:hint="eastAsia"/>
          <w:szCs w:val="28"/>
        </w:rPr>
        <w:t>統一全球</w:t>
      </w:r>
      <w:r w:rsidR="000228DD" w:rsidRPr="000228DD">
        <w:rPr>
          <w:rFonts w:ascii="標楷體" w:eastAsia="標楷體" w:hAnsi="標楷體" w:hint="eastAsia"/>
          <w:szCs w:val="28"/>
        </w:rPr>
        <w:t>新</w:t>
      </w:r>
      <w:r w:rsidRPr="000228DD">
        <w:rPr>
          <w:rFonts w:ascii="標楷體" w:eastAsia="標楷體" w:hAnsi="標楷體" w:hint="eastAsia"/>
          <w:szCs w:val="28"/>
        </w:rPr>
        <w:t>科技</w:t>
      </w:r>
      <w:r w:rsidR="0081306A">
        <w:rPr>
          <w:rFonts w:ascii="標楷體" w:eastAsia="標楷體" w:hAnsi="標楷體" w:hint="eastAsia"/>
          <w:szCs w:val="28"/>
        </w:rPr>
        <w:t>-美元</w:t>
      </w:r>
      <w:r w:rsidRPr="008D229E">
        <w:rPr>
          <w:rFonts w:ascii="標楷體" w:eastAsia="標楷體" w:hAnsi="標楷體" w:hint="eastAsia"/>
          <w:szCs w:val="28"/>
        </w:rPr>
        <w:t>累計獲利高達76.54%，傲視群雄；而受惠於T</w:t>
      </w:r>
      <w:r w:rsidRPr="008D229E">
        <w:rPr>
          <w:rFonts w:ascii="標楷體" w:eastAsia="標楷體" w:hAnsi="標楷體"/>
          <w:szCs w:val="28"/>
        </w:rPr>
        <w:t>esla</w:t>
      </w:r>
      <w:r w:rsidRPr="008D229E">
        <w:rPr>
          <w:rFonts w:ascii="標楷體" w:eastAsia="標楷體" w:hAnsi="標楷體" w:hint="eastAsia"/>
          <w:szCs w:val="28"/>
        </w:rPr>
        <w:t>與Ap</w:t>
      </w:r>
      <w:r w:rsidRPr="008D229E">
        <w:rPr>
          <w:rFonts w:ascii="標楷體" w:eastAsia="標楷體" w:hAnsi="標楷體"/>
          <w:szCs w:val="28"/>
        </w:rPr>
        <w:t>ple Inc.</w:t>
      </w:r>
      <w:r w:rsidRPr="008D229E">
        <w:rPr>
          <w:rFonts w:ascii="標楷體" w:eastAsia="標楷體" w:hAnsi="標楷體" w:hint="eastAsia"/>
          <w:szCs w:val="28"/>
        </w:rPr>
        <w:t>的大漲，統一NYSE FANG+ ETF也締造了75.58%的佳績。</w:t>
      </w:r>
    </w:p>
    <w:p w:rsidR="00305ADB" w:rsidRPr="008D229E" w:rsidRDefault="00305ADB" w:rsidP="00C73639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r w:rsidRPr="008D229E">
        <w:rPr>
          <w:rFonts w:ascii="標楷體" w:eastAsia="標楷體" w:hAnsi="標楷體" w:hint="eastAsia"/>
          <w:szCs w:val="28"/>
        </w:rPr>
        <w:t>由於台幣於今年至11年底升值了4.26%</w:t>
      </w:r>
      <w:r w:rsidR="002700CF" w:rsidRPr="008D229E">
        <w:rPr>
          <w:rFonts w:ascii="標楷體" w:eastAsia="標楷體" w:hAnsi="標楷體" w:hint="eastAsia"/>
          <w:szCs w:val="28"/>
        </w:rPr>
        <w:t>(以收盤匯率計算)，吃掉不少債券型基金的獲利。就投資等級債(全部幣別)而言，美國4.</w:t>
      </w:r>
      <w:r w:rsidR="005F22B8">
        <w:rPr>
          <w:rFonts w:ascii="標楷體" w:eastAsia="標楷體" w:hAnsi="標楷體" w:hint="eastAsia"/>
          <w:szCs w:val="28"/>
        </w:rPr>
        <w:t>8</w:t>
      </w:r>
      <w:r w:rsidR="002700CF" w:rsidRPr="008D229E">
        <w:rPr>
          <w:rFonts w:ascii="標楷體" w:eastAsia="標楷體" w:hAnsi="標楷體" w:hint="eastAsia"/>
          <w:szCs w:val="28"/>
        </w:rPr>
        <w:t>5</w:t>
      </w:r>
      <w:r w:rsidR="001A4620" w:rsidRPr="008D229E">
        <w:rPr>
          <w:rFonts w:ascii="標楷體" w:eastAsia="標楷體" w:hAnsi="標楷體" w:hint="eastAsia"/>
          <w:szCs w:val="28"/>
        </w:rPr>
        <w:t>%</w:t>
      </w:r>
      <w:r w:rsidR="002700CF" w:rsidRPr="008D229E">
        <w:rPr>
          <w:rFonts w:ascii="標楷體" w:eastAsia="標楷體" w:hAnsi="標楷體" w:hint="eastAsia"/>
          <w:szCs w:val="28"/>
        </w:rPr>
        <w:t>最優(但換算成台幣</w:t>
      </w:r>
      <w:r w:rsidR="005F22B8">
        <w:rPr>
          <w:rFonts w:ascii="標楷體" w:eastAsia="標楷體" w:hAnsi="標楷體" w:hint="eastAsia"/>
          <w:szCs w:val="28"/>
        </w:rPr>
        <w:t>後也所剩無幾</w:t>
      </w:r>
      <w:r w:rsidR="002700CF" w:rsidRPr="008D229E">
        <w:rPr>
          <w:rFonts w:ascii="標楷體" w:eastAsia="標楷體" w:hAnsi="標楷體" w:hint="eastAsia"/>
          <w:szCs w:val="28"/>
        </w:rPr>
        <w:t>)，其次為全球型的3.01%與短期型的2.9</w:t>
      </w:r>
      <w:r w:rsidR="007E2F26">
        <w:rPr>
          <w:rFonts w:ascii="標楷體" w:eastAsia="標楷體" w:hAnsi="標楷體" w:hint="eastAsia"/>
          <w:szCs w:val="28"/>
        </w:rPr>
        <w:t>2</w:t>
      </w:r>
      <w:r w:rsidR="002700CF" w:rsidRPr="008D229E">
        <w:rPr>
          <w:rFonts w:ascii="標楷體" w:eastAsia="標楷體" w:hAnsi="標楷體" w:hint="eastAsia"/>
          <w:szCs w:val="28"/>
        </w:rPr>
        <w:t>%，目標</w:t>
      </w:r>
      <w:proofErr w:type="gramStart"/>
      <w:r w:rsidR="002700CF" w:rsidRPr="008D229E">
        <w:rPr>
          <w:rFonts w:ascii="標楷體" w:eastAsia="標楷體" w:hAnsi="標楷體" w:hint="eastAsia"/>
          <w:szCs w:val="28"/>
        </w:rPr>
        <w:t>到期債則僅</w:t>
      </w:r>
      <w:proofErr w:type="gramEnd"/>
      <w:r w:rsidR="002700CF" w:rsidRPr="008D229E">
        <w:rPr>
          <w:rFonts w:ascii="標楷體" w:eastAsia="標楷體" w:hAnsi="標楷體" w:hint="eastAsia"/>
          <w:szCs w:val="28"/>
        </w:rPr>
        <w:t>0.96%。高收益債方面(全部幣別)以中國高收益債的2.07%最佳，全球型0.07%居次，其</w:t>
      </w:r>
      <w:r w:rsidR="002700CF" w:rsidRPr="008D229E">
        <w:rPr>
          <w:rFonts w:ascii="標楷體" w:eastAsia="標楷體" w:hAnsi="標楷體" w:hint="eastAsia"/>
          <w:szCs w:val="28"/>
        </w:rPr>
        <w:lastRenderedPageBreak/>
        <w:t>餘新興市場型與亞洲型</w:t>
      </w:r>
      <w:r w:rsidR="00F63549" w:rsidRPr="008D229E">
        <w:rPr>
          <w:rFonts w:ascii="標楷體" w:eastAsia="標楷體" w:hAnsi="標楷體" w:hint="eastAsia"/>
          <w:szCs w:val="28"/>
        </w:rPr>
        <w:t>之累積報酬仍為負值。100檔債券型ETF表現</w:t>
      </w:r>
      <w:r w:rsidR="001A4620" w:rsidRPr="008D229E">
        <w:rPr>
          <w:rFonts w:ascii="標楷體" w:eastAsia="標楷體" w:hAnsi="標楷體" w:hint="eastAsia"/>
          <w:szCs w:val="28"/>
        </w:rPr>
        <w:t>不</w:t>
      </w:r>
      <w:r w:rsidR="00F63549" w:rsidRPr="008D229E">
        <w:rPr>
          <w:rFonts w:ascii="標楷體" w:eastAsia="標楷體" w:hAnsi="標楷體" w:hint="eastAsia"/>
          <w:szCs w:val="28"/>
        </w:rPr>
        <w:t>錯，年初迄今平均仍有5.63%的報酬，尤以復華美國20年期以上公債ETF的14.24%最佳，而單日正向二倍ETF平均獲利高達28.51%，績效驚人。</w:t>
      </w:r>
    </w:p>
    <w:p w:rsidR="00F63549" w:rsidRPr="008D229E" w:rsidRDefault="00F63549" w:rsidP="00F63549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r w:rsidRPr="008D229E">
        <w:rPr>
          <w:rFonts w:ascii="標楷體" w:eastAsia="標楷體" w:hAnsi="標楷體" w:hint="eastAsia"/>
          <w:szCs w:val="28"/>
        </w:rPr>
        <w:t>平衡型基金國內優於跨國，但略遜於投資中國的平衡型基金，國內價值型為主的平衡型(累積15.34%)優於國內一般型股票為主的平衡型(累積13.50%)。個</w:t>
      </w:r>
      <w:r w:rsidR="001A4620" w:rsidRPr="008D229E">
        <w:rPr>
          <w:rFonts w:ascii="標楷體" w:eastAsia="標楷體" w:hAnsi="標楷體" w:hint="eastAsia"/>
          <w:szCs w:val="28"/>
        </w:rPr>
        <w:t>別基金</w:t>
      </w:r>
      <w:r w:rsidRPr="008D229E">
        <w:rPr>
          <w:rFonts w:ascii="標楷體" w:eastAsia="標楷體" w:hAnsi="標楷體" w:hint="eastAsia"/>
          <w:szCs w:val="28"/>
        </w:rPr>
        <w:t>方面以復華亞太平衡累積獲利41.50%，遙遙領先。多重資產型(全部幣別)平均雖只有5.47%的累積報酬，但領先的富邦AI智能新趨勢多</w:t>
      </w:r>
      <w:r w:rsidR="001A4620" w:rsidRPr="008D229E">
        <w:rPr>
          <w:rFonts w:ascii="標楷體" w:eastAsia="標楷體" w:hAnsi="標楷體" w:hint="eastAsia"/>
          <w:szCs w:val="28"/>
        </w:rPr>
        <w:t>重</w:t>
      </w:r>
      <w:r w:rsidRPr="008D229E">
        <w:rPr>
          <w:rFonts w:ascii="標楷體" w:eastAsia="標楷體" w:hAnsi="標楷體" w:hint="eastAsia"/>
          <w:szCs w:val="28"/>
        </w:rPr>
        <w:t>資產-N(美元)之累積獲利</w:t>
      </w:r>
      <w:r w:rsidR="001A4620" w:rsidRPr="008D229E">
        <w:rPr>
          <w:rFonts w:ascii="標楷體" w:eastAsia="標楷體" w:hAnsi="標楷體" w:hint="eastAsia"/>
          <w:szCs w:val="28"/>
        </w:rPr>
        <w:t>已</w:t>
      </w:r>
      <w:r w:rsidRPr="008D229E">
        <w:rPr>
          <w:rFonts w:ascii="標楷體" w:eastAsia="標楷體" w:hAnsi="標楷體" w:hint="eastAsia"/>
          <w:szCs w:val="28"/>
        </w:rPr>
        <w:t>高達43.73%!</w:t>
      </w:r>
    </w:p>
    <w:p w:rsidR="002700CF" w:rsidRPr="008D229E" w:rsidRDefault="00F63549" w:rsidP="00C73639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r w:rsidRPr="008D229E">
        <w:rPr>
          <w:rFonts w:ascii="標楷體" w:eastAsia="標楷體" w:hAnsi="標楷體" w:hint="eastAsia"/>
          <w:szCs w:val="28"/>
        </w:rPr>
        <w:t>跨國組合型基金(全部幣別)以一般</w:t>
      </w:r>
      <w:bookmarkStart w:id="0" w:name="_GoBack"/>
      <w:bookmarkEnd w:id="0"/>
      <w:r w:rsidRPr="008D229E">
        <w:rPr>
          <w:rFonts w:ascii="標楷體" w:eastAsia="標楷體" w:hAnsi="標楷體" w:hint="eastAsia"/>
          <w:szCs w:val="28"/>
        </w:rPr>
        <w:t>股票組合(累積11.29%，全部幣別)最佳，其中國泰全球積極組合-美元累積22.39%居首，但換算成台幣後累積報酬僅剩17.18%。債券組合型基金之累積獲利(全部幣別)</w:t>
      </w:r>
      <w:r w:rsidR="001A4620" w:rsidRPr="008D229E">
        <w:rPr>
          <w:rFonts w:ascii="標楷體" w:eastAsia="標楷體" w:hAnsi="標楷體" w:hint="eastAsia"/>
          <w:szCs w:val="28"/>
        </w:rPr>
        <w:t>以</w:t>
      </w:r>
      <w:r w:rsidRPr="008D229E">
        <w:rPr>
          <w:rFonts w:ascii="標楷體" w:eastAsia="標楷體" w:hAnsi="標楷體" w:hint="eastAsia"/>
          <w:szCs w:val="28"/>
        </w:rPr>
        <w:t>投資等級債組合(2.17%)優於複合式(1.11%)又優於高收益債組合(-1.33%)。平衡組合之累積獲利(全部幣別)</w:t>
      </w:r>
      <w:r w:rsidRPr="0012221F">
        <w:rPr>
          <w:rFonts w:ascii="標楷體" w:eastAsia="標楷體" w:hAnsi="標楷體" w:hint="eastAsia"/>
          <w:szCs w:val="28"/>
        </w:rPr>
        <w:t>亦高達5.</w:t>
      </w:r>
      <w:r w:rsidR="006564FE" w:rsidRPr="0012221F">
        <w:rPr>
          <w:rFonts w:ascii="標楷體" w:eastAsia="標楷體" w:hAnsi="標楷體" w:hint="eastAsia"/>
          <w:szCs w:val="28"/>
        </w:rPr>
        <w:t>95</w:t>
      </w:r>
      <w:r w:rsidRPr="0012221F">
        <w:rPr>
          <w:rFonts w:ascii="標楷體" w:eastAsia="標楷體" w:hAnsi="標楷體" w:hint="eastAsia"/>
          <w:szCs w:val="28"/>
        </w:rPr>
        <w:t>%，其中群益環球金綻</w:t>
      </w:r>
      <w:r w:rsidR="000228DD" w:rsidRPr="0012221F">
        <w:rPr>
          <w:rFonts w:ascii="標楷體" w:eastAsia="標楷體" w:hAnsi="標楷體" w:hint="eastAsia"/>
          <w:szCs w:val="28"/>
        </w:rPr>
        <w:t>雙</w:t>
      </w:r>
      <w:r w:rsidRPr="0012221F">
        <w:rPr>
          <w:rFonts w:ascii="標楷體" w:eastAsia="標楷體" w:hAnsi="標楷體" w:hint="eastAsia"/>
          <w:szCs w:val="28"/>
        </w:rPr>
        <w:t>喜B(</w:t>
      </w:r>
      <w:proofErr w:type="gramStart"/>
      <w:r w:rsidRPr="0012221F">
        <w:rPr>
          <w:rFonts w:ascii="標楷體" w:eastAsia="標楷體" w:hAnsi="標楷體" w:hint="eastAsia"/>
          <w:szCs w:val="28"/>
        </w:rPr>
        <w:t>月配型</w:t>
      </w:r>
      <w:proofErr w:type="gramEnd"/>
      <w:r w:rsidRPr="0012221F">
        <w:rPr>
          <w:rFonts w:ascii="標楷體" w:eastAsia="標楷體" w:hAnsi="標楷體" w:hint="eastAsia"/>
          <w:szCs w:val="28"/>
        </w:rPr>
        <w:t>-南非幣</w:t>
      </w:r>
      <w:r w:rsidR="000228DD" w:rsidRPr="0012221F">
        <w:rPr>
          <w:rFonts w:ascii="標楷體" w:eastAsia="標楷體" w:hAnsi="標楷體" w:hint="eastAsia"/>
          <w:szCs w:val="28"/>
        </w:rPr>
        <w:t>)</w:t>
      </w:r>
      <w:r w:rsidRPr="0012221F">
        <w:rPr>
          <w:rFonts w:ascii="標楷體" w:eastAsia="標楷體" w:hAnsi="標楷體" w:hint="eastAsia"/>
          <w:szCs w:val="28"/>
        </w:rPr>
        <w:t>累積已有26.08%</w:t>
      </w:r>
      <w:r w:rsidR="004D659C" w:rsidRPr="0012221F">
        <w:rPr>
          <w:rFonts w:ascii="標楷體" w:eastAsia="標楷體" w:hAnsi="標楷體" w:hint="eastAsia"/>
          <w:szCs w:val="28"/>
        </w:rPr>
        <w:t>的進</w:t>
      </w:r>
      <w:r w:rsidRPr="0012221F">
        <w:rPr>
          <w:rFonts w:ascii="標楷體" w:eastAsia="標楷體" w:hAnsi="標楷體" w:hint="eastAsia"/>
          <w:szCs w:val="28"/>
        </w:rPr>
        <w:t>帳</w:t>
      </w:r>
      <w:r w:rsidR="004D659C" w:rsidRPr="0012221F">
        <w:rPr>
          <w:rFonts w:ascii="標楷體" w:eastAsia="標楷體" w:hAnsi="標楷體" w:hint="eastAsia"/>
          <w:szCs w:val="28"/>
        </w:rPr>
        <w:t>。值得一提的是屬目標日期型的兩檔國泰</w:t>
      </w:r>
      <w:proofErr w:type="gramStart"/>
      <w:r w:rsidR="004D659C" w:rsidRPr="0012221F">
        <w:rPr>
          <w:rFonts w:ascii="標楷體" w:eastAsia="標楷體" w:hAnsi="標楷體" w:hint="eastAsia"/>
          <w:szCs w:val="28"/>
        </w:rPr>
        <w:t>樂享退系列</w:t>
      </w:r>
      <w:proofErr w:type="gramEnd"/>
      <w:r w:rsidR="003B4C71" w:rsidRPr="0012221F">
        <w:rPr>
          <w:rFonts w:ascii="標楷體" w:eastAsia="標楷體" w:hAnsi="標楷體" w:hint="eastAsia"/>
          <w:szCs w:val="28"/>
        </w:rPr>
        <w:t>之國泰</w:t>
      </w:r>
      <w:proofErr w:type="gramStart"/>
      <w:r w:rsidR="003B4C71" w:rsidRPr="0012221F">
        <w:rPr>
          <w:rFonts w:ascii="標楷體" w:eastAsia="標楷體" w:hAnsi="標楷體" w:hint="eastAsia"/>
          <w:szCs w:val="28"/>
        </w:rPr>
        <w:t>泰享退</w:t>
      </w:r>
      <w:proofErr w:type="gramEnd"/>
      <w:r w:rsidR="003B4C71" w:rsidRPr="0012221F">
        <w:rPr>
          <w:rFonts w:ascii="標楷體" w:eastAsia="標楷體" w:hAnsi="標楷體" w:hint="eastAsia"/>
          <w:szCs w:val="28"/>
        </w:rPr>
        <w:t>系列2039目標日期組合-美元A與國泰</w:t>
      </w:r>
      <w:proofErr w:type="gramStart"/>
      <w:r w:rsidR="003B4C71" w:rsidRPr="0012221F">
        <w:rPr>
          <w:rFonts w:ascii="標楷體" w:eastAsia="標楷體" w:hAnsi="標楷體" w:hint="eastAsia"/>
          <w:szCs w:val="28"/>
        </w:rPr>
        <w:t>泰享退</w:t>
      </w:r>
      <w:proofErr w:type="gramEnd"/>
      <w:r w:rsidR="003B4C71" w:rsidRPr="0012221F">
        <w:rPr>
          <w:rFonts w:ascii="標楷體" w:eastAsia="標楷體" w:hAnsi="標楷體" w:hint="eastAsia"/>
          <w:szCs w:val="28"/>
        </w:rPr>
        <w:t>系列2049目標日期組合-美元A</w:t>
      </w:r>
      <w:r w:rsidR="004D659C" w:rsidRPr="0012221F">
        <w:rPr>
          <w:rFonts w:ascii="標楷體" w:eastAsia="標楷體" w:hAnsi="標楷體" w:hint="eastAsia"/>
          <w:szCs w:val="28"/>
        </w:rPr>
        <w:t>，年初</w:t>
      </w:r>
      <w:proofErr w:type="gramStart"/>
      <w:r w:rsidR="004D659C" w:rsidRPr="0012221F">
        <w:rPr>
          <w:rFonts w:ascii="標楷體" w:eastAsia="標楷體" w:hAnsi="標楷體" w:hint="eastAsia"/>
          <w:szCs w:val="28"/>
        </w:rPr>
        <w:t>迄</w:t>
      </w:r>
      <w:proofErr w:type="gramEnd"/>
      <w:r w:rsidR="004D659C" w:rsidRPr="0012221F">
        <w:rPr>
          <w:rFonts w:ascii="標楷體" w:eastAsia="標楷體" w:hAnsi="標楷體" w:hint="eastAsia"/>
          <w:szCs w:val="28"/>
        </w:rPr>
        <w:t>11月底已分別獲利23.33%與21.38%。不動產證券化型基金(全部幣別)乏善可陳，年初</w:t>
      </w:r>
      <w:proofErr w:type="gramStart"/>
      <w:r w:rsidR="004D659C" w:rsidRPr="0012221F">
        <w:rPr>
          <w:rFonts w:ascii="標楷體" w:eastAsia="標楷體" w:hAnsi="標楷體" w:hint="eastAsia"/>
          <w:szCs w:val="28"/>
        </w:rPr>
        <w:t>迄</w:t>
      </w:r>
      <w:proofErr w:type="gramEnd"/>
      <w:r w:rsidR="004D659C" w:rsidRPr="0012221F">
        <w:rPr>
          <w:rFonts w:ascii="標楷體" w:eastAsia="標楷體" w:hAnsi="標楷體" w:hint="eastAsia"/>
          <w:szCs w:val="28"/>
        </w:rPr>
        <w:t>11月底平均仍虧損8.91%。</w:t>
      </w:r>
    </w:p>
    <w:sectPr w:rsidR="002700CF" w:rsidRPr="008D22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5D" w:rsidRDefault="007C665D" w:rsidP="00C73639">
      <w:r>
        <w:separator/>
      </w:r>
    </w:p>
  </w:endnote>
  <w:endnote w:type="continuationSeparator" w:id="0">
    <w:p w:rsidR="007C665D" w:rsidRDefault="007C665D" w:rsidP="00C7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434995"/>
      <w:docPartObj>
        <w:docPartGallery w:val="Page Numbers (Bottom of Page)"/>
        <w:docPartUnique/>
      </w:docPartObj>
    </w:sdtPr>
    <w:sdtEndPr/>
    <w:sdtContent>
      <w:p w:rsidR="00C73639" w:rsidRDefault="00C736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21F" w:rsidRPr="0012221F">
          <w:rPr>
            <w:noProof/>
            <w:lang w:val="zh-TW"/>
          </w:rPr>
          <w:t>2</w:t>
        </w:r>
        <w:r>
          <w:fldChar w:fldCharType="end"/>
        </w:r>
      </w:p>
    </w:sdtContent>
  </w:sdt>
  <w:p w:rsidR="00C73639" w:rsidRDefault="00C73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5D" w:rsidRDefault="007C665D" w:rsidP="00C73639">
      <w:r>
        <w:separator/>
      </w:r>
    </w:p>
  </w:footnote>
  <w:footnote w:type="continuationSeparator" w:id="0">
    <w:p w:rsidR="007C665D" w:rsidRDefault="007C665D" w:rsidP="00C7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5E"/>
    <w:rsid w:val="000228DD"/>
    <w:rsid w:val="00022AE6"/>
    <w:rsid w:val="000F592F"/>
    <w:rsid w:val="0012221F"/>
    <w:rsid w:val="001A4620"/>
    <w:rsid w:val="00200EE1"/>
    <w:rsid w:val="00246638"/>
    <w:rsid w:val="002700CF"/>
    <w:rsid w:val="002E1013"/>
    <w:rsid w:val="00305ADB"/>
    <w:rsid w:val="003074DA"/>
    <w:rsid w:val="00356885"/>
    <w:rsid w:val="003B4C71"/>
    <w:rsid w:val="00406B61"/>
    <w:rsid w:val="004D2A57"/>
    <w:rsid w:val="004D659C"/>
    <w:rsid w:val="00526C07"/>
    <w:rsid w:val="005F22B8"/>
    <w:rsid w:val="006564FE"/>
    <w:rsid w:val="006720A6"/>
    <w:rsid w:val="007A280F"/>
    <w:rsid w:val="007C665D"/>
    <w:rsid w:val="007D2453"/>
    <w:rsid w:val="007D6021"/>
    <w:rsid w:val="007E2F26"/>
    <w:rsid w:val="0081306A"/>
    <w:rsid w:val="008D229E"/>
    <w:rsid w:val="009D5A3E"/>
    <w:rsid w:val="009D6AE4"/>
    <w:rsid w:val="00AF795E"/>
    <w:rsid w:val="00B66BDB"/>
    <w:rsid w:val="00BA39ED"/>
    <w:rsid w:val="00C653DB"/>
    <w:rsid w:val="00C73639"/>
    <w:rsid w:val="00DB563D"/>
    <w:rsid w:val="00E501ED"/>
    <w:rsid w:val="00E90D72"/>
    <w:rsid w:val="00EA273F"/>
    <w:rsid w:val="00EA6B58"/>
    <w:rsid w:val="00F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4A62"/>
  <w15:chartTrackingRefBased/>
  <w15:docId w15:val="{DB4FD272-B44D-4D63-8B11-6A031F64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6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6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2020-12-02T05:35:00Z</dcterms:created>
  <dcterms:modified xsi:type="dcterms:W3CDTF">2020-12-08T06:18:00Z</dcterms:modified>
</cp:coreProperties>
</file>