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2E432" w14:textId="2DBC662E" w:rsidR="00060A5E" w:rsidRPr="00C339DF" w:rsidRDefault="00E45BD2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>
        <w:rPr>
          <w:rFonts w:ascii="Source Sans Pro" w:eastAsia="標楷體" w:hAnsi="Source Sans Pro" w:hint="eastAsia"/>
          <w:b/>
          <w:sz w:val="32"/>
          <w:szCs w:val="32"/>
        </w:rPr>
        <w:t>上半年台股基金大豐收</w:t>
      </w:r>
    </w:p>
    <w:p w14:paraId="61E93B83" w14:textId="77777777" w:rsidR="00117588" w:rsidRPr="00C339DF" w:rsidRDefault="00117588" w:rsidP="00117588">
      <w:pPr>
        <w:jc w:val="center"/>
        <w:rPr>
          <w:rFonts w:ascii="Source Sans Pro" w:eastAsia="標楷體" w:hAnsi="Source Sans Pro"/>
          <w:b/>
          <w:sz w:val="32"/>
          <w:szCs w:val="32"/>
        </w:rPr>
      </w:pPr>
      <w:r w:rsidRPr="00C339DF">
        <w:rPr>
          <w:rFonts w:ascii="Source Sans Pro" w:eastAsia="標楷體" w:hAnsi="Source Sans Pro"/>
          <w:b/>
          <w:sz w:val="32"/>
          <w:szCs w:val="32"/>
        </w:rPr>
        <w:t>邱顯比</w:t>
      </w:r>
      <w:r w:rsidRPr="00C339DF">
        <w:rPr>
          <w:rFonts w:ascii="Source Sans Pro" w:eastAsia="標楷體" w:hAnsi="Source Sans Pro"/>
          <w:b/>
          <w:sz w:val="32"/>
          <w:szCs w:val="32"/>
        </w:rPr>
        <w:t xml:space="preserve"> </w:t>
      </w:r>
      <w:r w:rsidRPr="00C339DF">
        <w:rPr>
          <w:rFonts w:ascii="Source Sans Pro" w:eastAsia="標楷體" w:hAnsi="Source Sans Pro"/>
          <w:b/>
          <w:sz w:val="32"/>
          <w:szCs w:val="32"/>
        </w:rPr>
        <w:t>李存修</w:t>
      </w:r>
    </w:p>
    <w:p w14:paraId="6DA0B7BD" w14:textId="27A9A35A" w:rsidR="00E45BD2" w:rsidRDefault="00090723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 w:rsidRPr="00C339DF">
        <w:rPr>
          <w:rFonts w:ascii="Source Sans Pro" w:eastAsia="標楷體" w:hAnsi="Source Sans Pro"/>
          <w:sz w:val="28"/>
          <w:szCs w:val="28"/>
        </w:rPr>
        <w:t xml:space="preserve">　　</w:t>
      </w:r>
      <w:r w:rsidR="00E45BD2">
        <w:rPr>
          <w:rFonts w:ascii="Source Sans Pro" w:eastAsia="標楷體" w:hAnsi="Source Sans Pro" w:hint="eastAsia"/>
          <w:sz w:val="28"/>
          <w:szCs w:val="28"/>
        </w:rPr>
        <w:t>由於疫苗施打快速覆蓋率高，美國率先</w:t>
      </w:r>
      <w:r w:rsidR="0027353E">
        <w:rPr>
          <w:rFonts w:ascii="Source Sans Pro" w:eastAsia="標楷體" w:hAnsi="Source Sans Pro" w:hint="eastAsia"/>
          <w:sz w:val="28"/>
          <w:szCs w:val="28"/>
        </w:rPr>
        <w:t>朝</w:t>
      </w:r>
      <w:r w:rsidR="00E45BD2">
        <w:rPr>
          <w:rFonts w:ascii="Source Sans Pro" w:eastAsia="標楷體" w:hAnsi="Source Sans Pro" w:hint="eastAsia"/>
          <w:sz w:val="28"/>
          <w:szCs w:val="28"/>
        </w:rPr>
        <w:t>Covid-19</w:t>
      </w:r>
      <w:r w:rsidR="00E45BD2">
        <w:rPr>
          <w:rFonts w:ascii="Source Sans Pro" w:eastAsia="標楷體" w:hAnsi="Source Sans Pro" w:hint="eastAsia"/>
          <w:sz w:val="28"/>
          <w:szCs w:val="28"/>
        </w:rPr>
        <w:t>爆發前的正常生活逼近，從電視轉播的高爾夫球賽</w:t>
      </w:r>
      <w:r w:rsidR="00E45BD2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45BD2">
        <w:rPr>
          <w:rFonts w:ascii="Source Sans Pro" w:eastAsia="標楷體" w:hAnsi="Source Sans Pro"/>
          <w:sz w:val="28"/>
          <w:szCs w:val="28"/>
        </w:rPr>
        <w:t>NBA</w:t>
      </w:r>
      <w:r w:rsidR="00E45BD2">
        <w:rPr>
          <w:rFonts w:ascii="Source Sans Pro" w:eastAsia="標楷體" w:hAnsi="Source Sans Pro" w:hint="eastAsia"/>
          <w:sz w:val="28"/>
          <w:szCs w:val="28"/>
        </w:rPr>
        <w:t>季後賽，大批觀眾擠滿球場不論室外室內很多人已不戴口罩，隨處可見臉上掛著笑容自由活動的人們</w:t>
      </w:r>
      <w:r w:rsidR="00E45BD2" w:rsidRPr="00C339DF">
        <w:rPr>
          <w:rFonts w:ascii="Source Sans Pro" w:eastAsia="標楷體" w:hAnsi="Source Sans Pro"/>
          <w:sz w:val="28"/>
          <w:szCs w:val="28"/>
        </w:rPr>
        <w:t>。</w:t>
      </w:r>
      <w:r w:rsidR="00E45BD2">
        <w:rPr>
          <w:rFonts w:ascii="Source Sans Pro" w:eastAsia="標楷體" w:hAnsi="Source Sans Pro" w:hint="eastAsia"/>
          <w:sz w:val="28"/>
          <w:szCs w:val="28"/>
        </w:rPr>
        <w:t>6</w:t>
      </w:r>
      <w:r w:rsidR="00E45BD2">
        <w:rPr>
          <w:rFonts w:ascii="Source Sans Pro" w:eastAsia="標楷體" w:hAnsi="Source Sans Pro" w:hint="eastAsia"/>
          <w:sz w:val="28"/>
          <w:szCs w:val="28"/>
        </w:rPr>
        <w:t>月美國新增八十五萬份工作，優於預期，在疫情控制得宜及拜登政府一連串紓困與振興經濟方案下，美國經濟加速復甦，企業財報亮麗，再加上聯準會寬鬆貨幣政策推波助瀾，美國股市標普</w:t>
      </w:r>
      <w:r w:rsidR="00E45BD2">
        <w:rPr>
          <w:rFonts w:ascii="Source Sans Pro" w:eastAsia="標楷體" w:hAnsi="Source Sans Pro" w:hint="eastAsia"/>
          <w:sz w:val="28"/>
          <w:szCs w:val="28"/>
        </w:rPr>
        <w:t>500</w:t>
      </w:r>
      <w:r w:rsidR="00E45BD2">
        <w:rPr>
          <w:rFonts w:ascii="Source Sans Pro" w:eastAsia="標楷體" w:hAnsi="Source Sans Pro" w:hint="eastAsia"/>
          <w:sz w:val="28"/>
          <w:szCs w:val="28"/>
        </w:rPr>
        <w:t>和那斯達克指數</w:t>
      </w:r>
      <w:r w:rsidR="00E45BD2">
        <w:rPr>
          <w:rFonts w:ascii="Source Sans Pro" w:eastAsia="標楷體" w:hAnsi="Source Sans Pro" w:hint="eastAsia"/>
          <w:sz w:val="28"/>
          <w:szCs w:val="28"/>
        </w:rPr>
        <w:t>6</w:t>
      </w:r>
      <w:r w:rsidR="00E45BD2">
        <w:rPr>
          <w:rFonts w:ascii="Source Sans Pro" w:eastAsia="標楷體" w:hAnsi="Source Sans Pro" w:hint="eastAsia"/>
          <w:sz w:val="28"/>
          <w:szCs w:val="28"/>
        </w:rPr>
        <w:t>月底皆創先高，標普</w:t>
      </w:r>
      <w:r w:rsidR="00E45BD2">
        <w:rPr>
          <w:rFonts w:ascii="Source Sans Pro" w:eastAsia="標楷體" w:hAnsi="Source Sans Pro" w:hint="eastAsia"/>
          <w:sz w:val="28"/>
          <w:szCs w:val="28"/>
        </w:rPr>
        <w:t>500</w:t>
      </w:r>
      <w:r w:rsidR="00E45BD2">
        <w:rPr>
          <w:rFonts w:ascii="Source Sans Pro" w:eastAsia="標楷體" w:hAnsi="Source Sans Pro" w:hint="eastAsia"/>
          <w:sz w:val="28"/>
          <w:szCs w:val="28"/>
        </w:rPr>
        <w:t>指數</w:t>
      </w:r>
      <w:r w:rsidR="00E45BD2">
        <w:rPr>
          <w:rFonts w:ascii="Source Sans Pro" w:eastAsia="標楷體" w:hAnsi="Source Sans Pro" w:hint="eastAsia"/>
          <w:sz w:val="28"/>
          <w:szCs w:val="28"/>
        </w:rPr>
        <w:t>6</w:t>
      </w:r>
      <w:r w:rsidR="00E45BD2">
        <w:rPr>
          <w:rFonts w:ascii="Source Sans Pro" w:eastAsia="標楷體" w:hAnsi="Source Sans Pro" w:hint="eastAsia"/>
          <w:sz w:val="28"/>
          <w:szCs w:val="28"/>
        </w:rPr>
        <w:t>月份上漲</w:t>
      </w:r>
      <w:r w:rsidR="00E45BD2">
        <w:rPr>
          <w:rFonts w:ascii="Source Sans Pro" w:eastAsia="標楷體" w:hAnsi="Source Sans Pro" w:hint="eastAsia"/>
          <w:sz w:val="28"/>
          <w:szCs w:val="28"/>
        </w:rPr>
        <w:t>2.22%</w:t>
      </w:r>
      <w:r w:rsidR="00E45BD2">
        <w:rPr>
          <w:rFonts w:ascii="Source Sans Pro" w:eastAsia="標楷體" w:hAnsi="Source Sans Pro" w:hint="eastAsia"/>
          <w:sz w:val="28"/>
          <w:szCs w:val="28"/>
        </w:rPr>
        <w:t>，第二季上漲</w:t>
      </w:r>
      <w:r w:rsidR="00E45BD2">
        <w:rPr>
          <w:rFonts w:ascii="Source Sans Pro" w:eastAsia="標楷體" w:hAnsi="Source Sans Pro" w:hint="eastAsia"/>
          <w:sz w:val="28"/>
          <w:szCs w:val="28"/>
        </w:rPr>
        <w:t>8.17%</w:t>
      </w:r>
      <w:r w:rsidR="00E45BD2">
        <w:rPr>
          <w:rFonts w:ascii="Source Sans Pro" w:eastAsia="標楷體" w:hAnsi="Source Sans Pro" w:hint="eastAsia"/>
          <w:sz w:val="28"/>
          <w:szCs w:val="28"/>
        </w:rPr>
        <w:t>，上半年上漲</w:t>
      </w:r>
      <w:r w:rsidR="00E45BD2">
        <w:rPr>
          <w:rFonts w:ascii="Source Sans Pro" w:eastAsia="標楷體" w:hAnsi="Source Sans Pro" w:hint="eastAsia"/>
          <w:sz w:val="28"/>
          <w:szCs w:val="28"/>
        </w:rPr>
        <w:t>14.41%</w:t>
      </w:r>
      <w:r w:rsidR="00E45BD2" w:rsidRPr="00C339DF">
        <w:rPr>
          <w:rFonts w:ascii="Source Sans Pro" w:eastAsia="標楷體" w:hAnsi="Source Sans Pro"/>
          <w:sz w:val="28"/>
          <w:szCs w:val="28"/>
        </w:rPr>
        <w:t>。</w:t>
      </w:r>
      <w:r w:rsidR="00E45BD2">
        <w:rPr>
          <w:rFonts w:ascii="Source Sans Pro" w:eastAsia="標楷體" w:hAnsi="Source Sans Pro" w:hint="eastAsia"/>
          <w:sz w:val="28"/>
          <w:szCs w:val="28"/>
        </w:rPr>
        <w:t>歐洲疫苗施打速度雖不如美國，但近幾個月迅速追趕，可望七月底前成年人皆可至少施打一劑，各國逐漸放寬旅行及生活限制</w:t>
      </w:r>
      <w:r w:rsidR="00E45BD2" w:rsidRPr="00C339DF">
        <w:rPr>
          <w:rFonts w:ascii="Source Sans Pro" w:eastAsia="標楷體" w:hAnsi="Source Sans Pro"/>
          <w:sz w:val="28"/>
          <w:szCs w:val="28"/>
        </w:rPr>
        <w:t>。</w:t>
      </w:r>
      <w:r w:rsidR="00E45BD2">
        <w:rPr>
          <w:rFonts w:ascii="Source Sans Pro" w:eastAsia="標楷體" w:hAnsi="Source Sans Pro" w:hint="eastAsia"/>
          <w:sz w:val="28"/>
          <w:szCs w:val="28"/>
        </w:rPr>
        <w:t>M</w:t>
      </w:r>
      <w:r w:rsidR="00E45BD2">
        <w:rPr>
          <w:rFonts w:ascii="Source Sans Pro" w:eastAsia="標楷體" w:hAnsi="Source Sans Pro"/>
          <w:sz w:val="28"/>
          <w:szCs w:val="28"/>
        </w:rPr>
        <w:t>SCI</w:t>
      </w:r>
      <w:r w:rsidR="00E45BD2">
        <w:rPr>
          <w:rFonts w:ascii="Source Sans Pro" w:eastAsia="標楷體" w:hAnsi="Source Sans Pro" w:hint="eastAsia"/>
          <w:sz w:val="28"/>
          <w:szCs w:val="28"/>
        </w:rPr>
        <w:t>歐洲指數第二季上漲</w:t>
      </w:r>
      <w:r w:rsidR="00E45BD2">
        <w:rPr>
          <w:rFonts w:ascii="Source Sans Pro" w:eastAsia="標楷體" w:hAnsi="Source Sans Pro" w:hint="eastAsia"/>
          <w:sz w:val="28"/>
          <w:szCs w:val="28"/>
        </w:rPr>
        <w:t>5.51%</w:t>
      </w:r>
      <w:r w:rsidR="00E45BD2">
        <w:rPr>
          <w:rFonts w:ascii="Source Sans Pro" w:eastAsia="標楷體" w:hAnsi="Source Sans Pro" w:hint="eastAsia"/>
          <w:sz w:val="28"/>
          <w:szCs w:val="28"/>
        </w:rPr>
        <w:t>，上半年上漲</w:t>
      </w:r>
      <w:r w:rsidR="00E45BD2">
        <w:rPr>
          <w:rFonts w:ascii="Source Sans Pro" w:eastAsia="標楷體" w:hAnsi="Source Sans Pro" w:hint="eastAsia"/>
          <w:sz w:val="28"/>
          <w:szCs w:val="28"/>
        </w:rPr>
        <w:t>11.22%</w:t>
      </w:r>
      <w:r w:rsidR="00E45BD2" w:rsidRPr="00C339DF">
        <w:rPr>
          <w:rFonts w:ascii="Source Sans Pro" w:eastAsia="標楷體" w:hAnsi="Source Sans Pro"/>
          <w:sz w:val="28"/>
          <w:szCs w:val="28"/>
        </w:rPr>
        <w:t>。</w:t>
      </w:r>
      <w:r w:rsidR="00E45BD2">
        <w:rPr>
          <w:rFonts w:ascii="Source Sans Pro" w:eastAsia="標楷體" w:hAnsi="Source Sans Pro" w:hint="eastAsia"/>
          <w:sz w:val="28"/>
          <w:szCs w:val="28"/>
        </w:rPr>
        <w:t>新興市場國家疫苗取得不易，覆蓋率極低（中國</w:t>
      </w:r>
      <w:r w:rsidR="00E45BD2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45BD2">
        <w:rPr>
          <w:rFonts w:ascii="Source Sans Pro" w:eastAsia="標楷體" w:hAnsi="Source Sans Pro" w:hint="eastAsia"/>
          <w:sz w:val="28"/>
          <w:szCs w:val="28"/>
        </w:rPr>
        <w:t>俄羅斯除外），仍在與新冠疫情苦苦搏鬥，股市表現不若歐美出色，</w:t>
      </w:r>
      <w:r w:rsidR="00E45BD2">
        <w:rPr>
          <w:rFonts w:ascii="Source Sans Pro" w:eastAsia="標楷體" w:hAnsi="Source Sans Pro" w:hint="eastAsia"/>
          <w:sz w:val="28"/>
          <w:szCs w:val="28"/>
        </w:rPr>
        <w:t>MSCI</w:t>
      </w:r>
      <w:r w:rsidR="00E45BD2">
        <w:rPr>
          <w:rFonts w:ascii="Source Sans Pro" w:eastAsia="標楷體" w:hAnsi="Source Sans Pro" w:hint="eastAsia"/>
          <w:sz w:val="28"/>
          <w:szCs w:val="28"/>
        </w:rPr>
        <w:t>新興市場指數第二季上漲</w:t>
      </w:r>
      <w:r w:rsidR="00E45BD2">
        <w:rPr>
          <w:rFonts w:ascii="Source Sans Pro" w:eastAsia="標楷體" w:hAnsi="Source Sans Pro" w:hint="eastAsia"/>
          <w:sz w:val="28"/>
          <w:szCs w:val="28"/>
        </w:rPr>
        <w:t>5.12%</w:t>
      </w:r>
      <w:r w:rsidR="00E45BD2">
        <w:rPr>
          <w:rFonts w:ascii="Source Sans Pro" w:eastAsia="標楷體" w:hAnsi="Source Sans Pro" w:hint="eastAsia"/>
          <w:sz w:val="28"/>
          <w:szCs w:val="28"/>
        </w:rPr>
        <w:t>，上半年上漲</w:t>
      </w:r>
      <w:r w:rsidR="00E45BD2">
        <w:rPr>
          <w:rFonts w:ascii="Source Sans Pro" w:eastAsia="標楷體" w:hAnsi="Source Sans Pro" w:hint="eastAsia"/>
          <w:sz w:val="28"/>
          <w:szCs w:val="28"/>
        </w:rPr>
        <w:t>7.58%</w:t>
      </w:r>
      <w:r w:rsidR="00E45BD2"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31EC6E5E" w14:textId="5652C83D" w:rsidR="0027353E" w:rsidRDefault="0027353E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13C95B29" w14:textId="114E6F53" w:rsidR="0027353E" w:rsidRDefault="0027353E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台灣</w:t>
      </w:r>
      <w:r>
        <w:rPr>
          <w:rFonts w:ascii="Source Sans Pro" w:eastAsia="標楷體" w:hAnsi="Source Sans Pro" w:hint="eastAsia"/>
          <w:sz w:val="28"/>
          <w:szCs w:val="28"/>
        </w:rPr>
        <w:t>5</w:t>
      </w:r>
      <w:r>
        <w:rPr>
          <w:rFonts w:ascii="Source Sans Pro" w:eastAsia="標楷體" w:hAnsi="Source Sans Pro" w:hint="eastAsia"/>
          <w:sz w:val="28"/>
          <w:szCs w:val="28"/>
        </w:rPr>
        <w:t>月中爆發本土疫情，股市一度急挫，但隨著染</w:t>
      </w:r>
      <w:r w:rsidR="0004213E">
        <w:rPr>
          <w:rFonts w:ascii="Source Sans Pro" w:eastAsia="標楷體" w:hAnsi="Source Sans Pro" w:hint="eastAsia"/>
          <w:sz w:val="28"/>
          <w:szCs w:val="28"/>
        </w:rPr>
        <w:t>疫</w:t>
      </w:r>
      <w:r>
        <w:rPr>
          <w:rFonts w:ascii="Source Sans Pro" w:eastAsia="標楷體" w:hAnsi="Source Sans Pro" w:hint="eastAsia"/>
          <w:sz w:val="28"/>
          <w:szCs w:val="28"/>
        </w:rPr>
        <w:t>人數逐漸下降，股市又回復上升趨勢，</w:t>
      </w:r>
      <w:r>
        <w:rPr>
          <w:rFonts w:ascii="Source Sans Pro" w:eastAsia="標楷體" w:hAnsi="Source Sans Pro" w:hint="eastAsia"/>
          <w:sz w:val="28"/>
          <w:szCs w:val="28"/>
        </w:rPr>
        <w:t>6</w:t>
      </w:r>
      <w:r>
        <w:rPr>
          <w:rFonts w:ascii="Source Sans Pro" w:eastAsia="標楷體" w:hAnsi="Source Sans Pro" w:hint="eastAsia"/>
          <w:sz w:val="28"/>
          <w:szCs w:val="28"/>
        </w:rPr>
        <w:t>月加權股價報酬指數上漲</w:t>
      </w:r>
      <w:r>
        <w:rPr>
          <w:rFonts w:ascii="Source Sans Pro" w:eastAsia="標楷體" w:hAnsi="Source Sans Pro" w:hint="eastAsia"/>
          <w:sz w:val="28"/>
          <w:szCs w:val="28"/>
        </w:rPr>
        <w:t>4.31%</w:t>
      </w:r>
      <w:r>
        <w:rPr>
          <w:rFonts w:ascii="Source Sans Pro" w:eastAsia="標楷體" w:hAnsi="Source Sans Pro" w:hint="eastAsia"/>
          <w:sz w:val="28"/>
          <w:szCs w:val="28"/>
        </w:rPr>
        <w:t>，</w:t>
      </w:r>
      <w:r>
        <w:rPr>
          <w:rFonts w:ascii="Source Sans Pro" w:eastAsia="標楷體" w:hAnsi="Source Sans Pro" w:hint="eastAsia"/>
          <w:sz w:val="28"/>
          <w:szCs w:val="28"/>
        </w:rPr>
        <w:lastRenderedPageBreak/>
        <w:t>OTC</w:t>
      </w:r>
      <w:r>
        <w:rPr>
          <w:rFonts w:ascii="Source Sans Pro" w:eastAsia="標楷體" w:hAnsi="Source Sans Pro" w:hint="eastAsia"/>
          <w:sz w:val="28"/>
          <w:szCs w:val="28"/>
        </w:rPr>
        <w:t>報酬指數上漲</w:t>
      </w:r>
      <w:r>
        <w:rPr>
          <w:rFonts w:ascii="Source Sans Pro" w:eastAsia="標楷體" w:hAnsi="Source Sans Pro" w:hint="eastAsia"/>
          <w:sz w:val="28"/>
          <w:szCs w:val="28"/>
        </w:rPr>
        <w:t>6.19%</w:t>
      </w:r>
      <w:r>
        <w:rPr>
          <w:rFonts w:ascii="Source Sans Pro" w:eastAsia="標楷體" w:hAnsi="Source Sans Pro" w:hint="eastAsia"/>
          <w:sz w:val="28"/>
          <w:szCs w:val="28"/>
        </w:rPr>
        <w:t>，</w:t>
      </w:r>
      <w:r>
        <w:rPr>
          <w:rFonts w:ascii="Source Sans Pro" w:eastAsia="標楷體" w:hAnsi="Source Sans Pro" w:hint="eastAsia"/>
          <w:sz w:val="28"/>
          <w:szCs w:val="28"/>
        </w:rPr>
        <w:t>6</w:t>
      </w:r>
      <w:r>
        <w:rPr>
          <w:rFonts w:ascii="Source Sans Pro" w:eastAsia="標楷體" w:hAnsi="Source Sans Pro" w:hint="eastAsia"/>
          <w:sz w:val="28"/>
          <w:szCs w:val="28"/>
        </w:rPr>
        <w:t>月底加權股價指數收盤創</w:t>
      </w:r>
      <w:r>
        <w:rPr>
          <w:rFonts w:ascii="Source Sans Pro" w:eastAsia="標楷體" w:hAnsi="Source Sans Pro" w:hint="eastAsia"/>
          <w:sz w:val="28"/>
          <w:szCs w:val="28"/>
        </w:rPr>
        <w:t>17</w:t>
      </w:r>
      <w:r>
        <w:rPr>
          <w:rFonts w:ascii="Source Sans Pro" w:eastAsia="標楷體" w:hAnsi="Source Sans Pro"/>
          <w:sz w:val="28"/>
          <w:szCs w:val="28"/>
        </w:rPr>
        <w:t>,</w:t>
      </w:r>
      <w:r>
        <w:rPr>
          <w:rFonts w:ascii="Source Sans Pro" w:eastAsia="標楷體" w:hAnsi="Source Sans Pro" w:hint="eastAsia"/>
          <w:sz w:val="28"/>
          <w:szCs w:val="28"/>
        </w:rPr>
        <w:t>7</w:t>
      </w:r>
      <w:r>
        <w:rPr>
          <w:rFonts w:ascii="Source Sans Pro" w:eastAsia="標楷體" w:hAnsi="Source Sans Pro"/>
          <w:sz w:val="28"/>
          <w:szCs w:val="28"/>
        </w:rPr>
        <w:t>55</w:t>
      </w:r>
      <w:r>
        <w:rPr>
          <w:rFonts w:ascii="Source Sans Pro" w:eastAsia="標楷體" w:hAnsi="Source Sans Pro" w:hint="eastAsia"/>
          <w:sz w:val="28"/>
          <w:szCs w:val="28"/>
        </w:rPr>
        <w:t>點新高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上半年一改</w:t>
      </w:r>
      <w:r>
        <w:rPr>
          <w:rFonts w:ascii="Source Sans Pro" w:eastAsia="標楷體" w:hAnsi="Source Sans Pro" w:hint="eastAsia"/>
          <w:sz w:val="28"/>
          <w:szCs w:val="28"/>
        </w:rPr>
        <w:t>2020</w:t>
      </w:r>
      <w:r>
        <w:rPr>
          <w:rFonts w:ascii="Source Sans Pro" w:eastAsia="標楷體" w:hAnsi="Source Sans Pro" w:hint="eastAsia"/>
          <w:sz w:val="28"/>
          <w:szCs w:val="28"/>
        </w:rPr>
        <w:t>年電子股獨強局面，傳產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金融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原物料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航運皆強，</w:t>
      </w:r>
      <w:bookmarkStart w:id="0" w:name="_Hlk76470829"/>
      <w:r>
        <w:rPr>
          <w:rFonts w:ascii="Source Sans Pro" w:eastAsia="標楷體" w:hAnsi="Source Sans Pro" w:hint="eastAsia"/>
          <w:sz w:val="28"/>
          <w:szCs w:val="28"/>
        </w:rPr>
        <w:t>加權股價報酬指數大漲</w:t>
      </w:r>
      <w:r>
        <w:rPr>
          <w:rFonts w:ascii="Source Sans Pro" w:eastAsia="標楷體" w:hAnsi="Source Sans Pro" w:hint="eastAsia"/>
          <w:sz w:val="28"/>
          <w:szCs w:val="28"/>
        </w:rPr>
        <w:t>21.09%</w:t>
      </w:r>
      <w:r w:rsidR="00470726">
        <w:rPr>
          <w:rFonts w:ascii="Source Sans Pro" w:eastAsia="標楷體" w:hAnsi="Source Sans Pro" w:hint="eastAsia"/>
          <w:sz w:val="28"/>
          <w:szCs w:val="28"/>
        </w:rPr>
        <w:t>在</w:t>
      </w:r>
      <w:r>
        <w:rPr>
          <w:rFonts w:ascii="Source Sans Pro" w:eastAsia="標楷體" w:hAnsi="Source Sans Pro" w:hint="eastAsia"/>
          <w:sz w:val="28"/>
          <w:szCs w:val="28"/>
        </w:rPr>
        <w:t>全球股市</w:t>
      </w:r>
      <w:r w:rsidR="00470726">
        <w:rPr>
          <w:rFonts w:ascii="Source Sans Pro" w:eastAsia="標楷體" w:hAnsi="Source Sans Pro" w:hint="eastAsia"/>
          <w:sz w:val="28"/>
          <w:szCs w:val="28"/>
        </w:rPr>
        <w:t>名列前茅</w:t>
      </w:r>
      <w:bookmarkEnd w:id="0"/>
      <w:r>
        <w:rPr>
          <w:rFonts w:ascii="Source Sans Pro" w:eastAsia="標楷體" w:hAnsi="Source Sans Pro" w:hint="eastAsia"/>
          <w:sz w:val="28"/>
          <w:szCs w:val="28"/>
        </w:rPr>
        <w:t>，</w:t>
      </w:r>
      <w:r>
        <w:rPr>
          <w:rFonts w:ascii="Source Sans Pro" w:eastAsia="標楷體" w:hAnsi="Source Sans Pro" w:hint="eastAsia"/>
          <w:sz w:val="28"/>
          <w:szCs w:val="28"/>
        </w:rPr>
        <w:t>O</w:t>
      </w:r>
      <w:r>
        <w:rPr>
          <w:rFonts w:ascii="Source Sans Pro" w:eastAsia="標楷體" w:hAnsi="Source Sans Pro"/>
          <w:sz w:val="28"/>
          <w:szCs w:val="28"/>
        </w:rPr>
        <w:t>TC</w:t>
      </w:r>
      <w:r>
        <w:rPr>
          <w:rFonts w:ascii="Source Sans Pro" w:eastAsia="標楷體" w:hAnsi="Source Sans Pro" w:hint="eastAsia"/>
          <w:sz w:val="28"/>
          <w:szCs w:val="28"/>
        </w:rPr>
        <w:t>報酬指數上漲</w:t>
      </w:r>
      <w:r>
        <w:rPr>
          <w:rFonts w:ascii="Source Sans Pro" w:eastAsia="標楷體" w:hAnsi="Source Sans Pro" w:hint="eastAsia"/>
          <w:sz w:val="28"/>
          <w:szCs w:val="28"/>
        </w:rPr>
        <w:t>16.72%</w:t>
      </w:r>
      <w:r>
        <w:rPr>
          <w:rFonts w:ascii="Source Sans Pro" w:eastAsia="標楷體" w:hAnsi="Source Sans Pro" w:hint="eastAsia"/>
          <w:sz w:val="28"/>
          <w:szCs w:val="28"/>
        </w:rPr>
        <w:t>，電子報酬指數上漲</w:t>
      </w:r>
      <w:r>
        <w:rPr>
          <w:rFonts w:ascii="Source Sans Pro" w:eastAsia="標楷體" w:hAnsi="Source Sans Pro" w:hint="eastAsia"/>
          <w:sz w:val="28"/>
          <w:szCs w:val="28"/>
        </w:rPr>
        <w:t>15.69%</w:t>
      </w:r>
      <w:r>
        <w:rPr>
          <w:rFonts w:ascii="Source Sans Pro" w:eastAsia="標楷體" w:hAnsi="Source Sans Pro" w:hint="eastAsia"/>
          <w:sz w:val="28"/>
          <w:szCs w:val="28"/>
        </w:rPr>
        <w:t>，上市櫃股票市值上升</w:t>
      </w:r>
      <w:r>
        <w:rPr>
          <w:rFonts w:ascii="Source Sans Pro" w:eastAsia="標楷體" w:hAnsi="Source Sans Pro" w:hint="eastAsia"/>
          <w:sz w:val="28"/>
          <w:szCs w:val="28"/>
        </w:rPr>
        <w:t>10.4</w:t>
      </w:r>
      <w:r>
        <w:rPr>
          <w:rFonts w:ascii="Source Sans Pro" w:eastAsia="標楷體" w:hAnsi="Source Sans Pro" w:hint="eastAsia"/>
          <w:sz w:val="28"/>
          <w:szCs w:val="28"/>
        </w:rPr>
        <w:t>兆新台幣，達到</w:t>
      </w:r>
      <w:r>
        <w:rPr>
          <w:rFonts w:ascii="Source Sans Pro" w:eastAsia="標楷體" w:hAnsi="Source Sans Pro" w:hint="eastAsia"/>
          <w:sz w:val="28"/>
          <w:szCs w:val="28"/>
        </w:rPr>
        <w:t>59.7</w:t>
      </w:r>
      <w:r>
        <w:rPr>
          <w:rFonts w:ascii="Source Sans Pro" w:eastAsia="標楷體" w:hAnsi="Source Sans Pro" w:hint="eastAsia"/>
          <w:sz w:val="28"/>
          <w:szCs w:val="28"/>
        </w:rPr>
        <w:t>兆元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56C33139" w14:textId="77777777" w:rsidR="0027353E" w:rsidRDefault="0027353E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40D8BFED" w14:textId="69B114F7" w:rsidR="0027353E" w:rsidRDefault="0027353E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相較於股市豐收，債券因為殖利率由谷底翻升而承受價格損失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隨著全球經濟復甦，原物料價格急漲，供應鏈斷鏈，就業上升，加上各國因應疫情放出大量貨幣供給，通貨膨脹壓力急遽上升，尤其美國</w:t>
      </w:r>
      <w:r>
        <w:rPr>
          <w:rFonts w:ascii="Source Sans Pro" w:eastAsia="標楷體" w:hAnsi="Source Sans Pro" w:hint="eastAsia"/>
          <w:sz w:val="28"/>
          <w:szCs w:val="28"/>
        </w:rPr>
        <w:t>4</w:t>
      </w:r>
      <w:r>
        <w:rPr>
          <w:rFonts w:ascii="Source Sans Pro" w:eastAsia="標楷體" w:hAnsi="Source Sans Pro" w:hint="eastAsia"/>
          <w:sz w:val="28"/>
          <w:szCs w:val="28"/>
        </w:rPr>
        <w:t>月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5</w:t>
      </w:r>
      <w:r>
        <w:rPr>
          <w:rFonts w:ascii="Source Sans Pro" w:eastAsia="標楷體" w:hAnsi="Source Sans Pro" w:hint="eastAsia"/>
          <w:sz w:val="28"/>
          <w:szCs w:val="28"/>
        </w:rPr>
        <w:t>月通膨數字創多年新高，聯準會是否會因通膨提早縮表升息時程備受金融市場關注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美國</w:t>
      </w:r>
      <w:r>
        <w:rPr>
          <w:rFonts w:ascii="Source Sans Pro" w:eastAsia="標楷體" w:hAnsi="Source Sans Pro" w:hint="eastAsia"/>
          <w:sz w:val="28"/>
          <w:szCs w:val="28"/>
        </w:rPr>
        <w:t>10</w:t>
      </w:r>
      <w:r>
        <w:rPr>
          <w:rFonts w:ascii="Source Sans Pro" w:eastAsia="標楷體" w:hAnsi="Source Sans Pro" w:hint="eastAsia"/>
          <w:sz w:val="28"/>
          <w:szCs w:val="28"/>
        </w:rPr>
        <w:t>年期公債殖利率</w:t>
      </w:r>
      <w:r>
        <w:rPr>
          <w:rFonts w:ascii="Source Sans Pro" w:eastAsia="標楷體" w:hAnsi="Source Sans Pro" w:hint="eastAsia"/>
          <w:sz w:val="28"/>
          <w:szCs w:val="28"/>
        </w:rPr>
        <w:t>2020</w:t>
      </w:r>
      <w:r>
        <w:rPr>
          <w:rFonts w:ascii="Source Sans Pro" w:eastAsia="標楷體" w:hAnsi="Source Sans Pro" w:hint="eastAsia"/>
          <w:sz w:val="28"/>
          <w:szCs w:val="28"/>
        </w:rPr>
        <w:t>年底為</w:t>
      </w:r>
      <w:r>
        <w:rPr>
          <w:rFonts w:ascii="Source Sans Pro" w:eastAsia="標楷體" w:hAnsi="Source Sans Pro" w:hint="eastAsia"/>
          <w:sz w:val="28"/>
          <w:szCs w:val="28"/>
        </w:rPr>
        <w:t>0.916%</w:t>
      </w:r>
      <w:r>
        <w:rPr>
          <w:rFonts w:ascii="Source Sans Pro" w:eastAsia="標楷體" w:hAnsi="Source Sans Pro" w:hint="eastAsia"/>
          <w:sz w:val="28"/>
          <w:szCs w:val="28"/>
        </w:rPr>
        <w:t>，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021</w:t>
      </w:r>
      <w:r>
        <w:rPr>
          <w:rFonts w:ascii="Source Sans Pro" w:eastAsia="標楷體" w:hAnsi="Source Sans Pro" w:hint="eastAsia"/>
          <w:sz w:val="28"/>
          <w:szCs w:val="28"/>
        </w:rPr>
        <w:t>年</w:t>
      </w:r>
      <w:r>
        <w:rPr>
          <w:rFonts w:ascii="Source Sans Pro" w:eastAsia="標楷體" w:hAnsi="Source Sans Pro" w:hint="eastAsia"/>
          <w:sz w:val="28"/>
          <w:szCs w:val="28"/>
        </w:rPr>
        <w:t>3</w:t>
      </w:r>
      <w:r>
        <w:rPr>
          <w:rFonts w:ascii="Source Sans Pro" w:eastAsia="標楷體" w:hAnsi="Source Sans Pro" w:hint="eastAsia"/>
          <w:sz w:val="28"/>
          <w:szCs w:val="28"/>
        </w:rPr>
        <w:t>月底急升至</w:t>
      </w:r>
      <w:r>
        <w:rPr>
          <w:rFonts w:ascii="Source Sans Pro" w:eastAsia="標楷體" w:hAnsi="Source Sans Pro" w:hint="eastAsia"/>
          <w:sz w:val="28"/>
          <w:szCs w:val="28"/>
        </w:rPr>
        <w:t>1.744%</w:t>
      </w:r>
      <w:r>
        <w:rPr>
          <w:rFonts w:ascii="Source Sans Pro" w:eastAsia="標楷體" w:hAnsi="Source Sans Pro" w:hint="eastAsia"/>
          <w:sz w:val="28"/>
          <w:szCs w:val="28"/>
        </w:rPr>
        <w:t>，而後在聯準會一再重申鴿派立場後，</w:t>
      </w:r>
      <w:r>
        <w:rPr>
          <w:rFonts w:ascii="Source Sans Pro" w:eastAsia="標楷體" w:hAnsi="Source Sans Pro" w:hint="eastAsia"/>
          <w:sz w:val="28"/>
          <w:szCs w:val="28"/>
        </w:rPr>
        <w:t>6</w:t>
      </w:r>
      <w:r>
        <w:rPr>
          <w:rFonts w:ascii="Source Sans Pro" w:eastAsia="標楷體" w:hAnsi="Source Sans Pro" w:hint="eastAsia"/>
          <w:sz w:val="28"/>
          <w:szCs w:val="28"/>
        </w:rPr>
        <w:t>月底殖利率降為</w:t>
      </w:r>
      <w:r>
        <w:rPr>
          <w:rFonts w:ascii="Source Sans Pro" w:eastAsia="標楷體" w:hAnsi="Source Sans Pro" w:hint="eastAsia"/>
          <w:sz w:val="28"/>
          <w:szCs w:val="28"/>
        </w:rPr>
        <w:t>1.468%</w:t>
      </w:r>
      <w:r>
        <w:rPr>
          <w:rFonts w:ascii="Source Sans Pro" w:eastAsia="標楷體" w:hAnsi="Source Sans Pro" w:hint="eastAsia"/>
          <w:sz w:val="28"/>
          <w:szCs w:val="28"/>
        </w:rPr>
        <w:t>，但是總結</w:t>
      </w:r>
      <w:r>
        <w:rPr>
          <w:rFonts w:ascii="Source Sans Pro" w:eastAsia="標楷體" w:hAnsi="Source Sans Pro" w:hint="eastAsia"/>
          <w:sz w:val="28"/>
          <w:szCs w:val="28"/>
        </w:rPr>
        <w:t>2021</w:t>
      </w:r>
      <w:r>
        <w:rPr>
          <w:rFonts w:ascii="Source Sans Pro" w:eastAsia="標楷體" w:hAnsi="Source Sans Pro" w:hint="eastAsia"/>
          <w:sz w:val="28"/>
          <w:szCs w:val="28"/>
        </w:rPr>
        <w:t>上半年，公債殖利率還是上升不少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497E44A3" w14:textId="0C1BF331" w:rsidR="00E87FB4" w:rsidRDefault="00E87FB4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274D4757" w14:textId="02BDA028" w:rsidR="00E87FB4" w:rsidRDefault="00B42C35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</w:t>
      </w:r>
      <w:r w:rsidR="00E87FB4">
        <w:rPr>
          <w:rFonts w:ascii="Source Sans Pro" w:eastAsia="標楷體" w:hAnsi="Source Sans Pro" w:hint="eastAsia"/>
          <w:sz w:val="28"/>
          <w:szCs w:val="28"/>
        </w:rPr>
        <w:t>6</w:t>
      </w:r>
      <w:r w:rsidR="00E87FB4">
        <w:rPr>
          <w:rFonts w:ascii="Source Sans Pro" w:eastAsia="標楷體" w:hAnsi="Source Sans Pro" w:hint="eastAsia"/>
          <w:sz w:val="28"/>
          <w:szCs w:val="28"/>
        </w:rPr>
        <w:t>月份境內基金以台股基金表現最佳，平均報酬率達</w:t>
      </w:r>
      <w:r w:rsidR="00E87FB4">
        <w:rPr>
          <w:rFonts w:ascii="Source Sans Pro" w:eastAsia="標楷體" w:hAnsi="Source Sans Pro" w:hint="eastAsia"/>
          <w:sz w:val="28"/>
          <w:szCs w:val="28"/>
        </w:rPr>
        <w:t>6.38%</w:t>
      </w:r>
      <w:r w:rsidR="00E87FB4">
        <w:rPr>
          <w:rFonts w:ascii="Source Sans Pro" w:eastAsia="標楷體" w:hAnsi="Source Sans Pro" w:hint="eastAsia"/>
          <w:sz w:val="28"/>
          <w:szCs w:val="28"/>
        </w:rPr>
        <w:t>，其中又以上櫃股票型（</w:t>
      </w:r>
      <w:r w:rsidR="00E87FB4">
        <w:rPr>
          <w:rFonts w:ascii="Source Sans Pro" w:eastAsia="標楷體" w:hAnsi="Source Sans Pro" w:hint="eastAsia"/>
          <w:sz w:val="28"/>
          <w:szCs w:val="28"/>
        </w:rPr>
        <w:t>8.75%</w:t>
      </w:r>
      <w:r w:rsidR="00E87FB4">
        <w:rPr>
          <w:rFonts w:ascii="Source Sans Pro" w:eastAsia="標楷體" w:hAnsi="Source Sans Pro" w:hint="eastAsia"/>
          <w:sz w:val="28"/>
          <w:szCs w:val="28"/>
        </w:rPr>
        <w:t>）及中概股型（</w:t>
      </w:r>
      <w:r w:rsidR="00E87FB4">
        <w:rPr>
          <w:rFonts w:ascii="Source Sans Pro" w:eastAsia="標楷體" w:hAnsi="Source Sans Pro" w:hint="eastAsia"/>
          <w:sz w:val="28"/>
          <w:szCs w:val="28"/>
        </w:rPr>
        <w:t>8.24%</w:t>
      </w:r>
      <w:r w:rsidR="00E87FB4">
        <w:rPr>
          <w:rFonts w:ascii="Source Sans Pro" w:eastAsia="標楷體" w:hAnsi="Source Sans Pro" w:hint="eastAsia"/>
          <w:sz w:val="28"/>
          <w:szCs w:val="28"/>
        </w:rPr>
        <w:t>）特別出色</w:t>
      </w:r>
      <w:r w:rsidR="00E87FB4" w:rsidRPr="00C339DF">
        <w:rPr>
          <w:rFonts w:ascii="Source Sans Pro" w:eastAsia="標楷體" w:hAnsi="Source Sans Pro"/>
          <w:sz w:val="28"/>
          <w:szCs w:val="28"/>
        </w:rPr>
        <w:t>。</w:t>
      </w:r>
      <w:r w:rsidR="00E87FB4">
        <w:rPr>
          <w:rFonts w:ascii="Source Sans Pro" w:eastAsia="標楷體" w:hAnsi="Source Sans Pro" w:hint="eastAsia"/>
          <w:sz w:val="28"/>
          <w:szCs w:val="28"/>
        </w:rPr>
        <w:t>跨國投資股票基金平均報酬率</w:t>
      </w:r>
      <w:r w:rsidR="00E87FB4">
        <w:rPr>
          <w:rFonts w:ascii="Source Sans Pro" w:eastAsia="標楷體" w:hAnsi="Source Sans Pro" w:hint="eastAsia"/>
          <w:sz w:val="28"/>
          <w:szCs w:val="28"/>
        </w:rPr>
        <w:t>2.8</w:t>
      </w:r>
      <w:r w:rsidR="00C94B71">
        <w:rPr>
          <w:rFonts w:ascii="Source Sans Pro" w:eastAsia="標楷體" w:hAnsi="Source Sans Pro" w:hint="eastAsia"/>
          <w:sz w:val="28"/>
          <w:szCs w:val="28"/>
        </w:rPr>
        <w:t>1</w:t>
      </w:r>
      <w:r w:rsidR="00E87FB4">
        <w:rPr>
          <w:rFonts w:ascii="Source Sans Pro" w:eastAsia="標楷體" w:hAnsi="Source Sans Pro" w:hint="eastAsia"/>
          <w:sz w:val="28"/>
          <w:szCs w:val="28"/>
        </w:rPr>
        <w:t>%</w:t>
      </w:r>
      <w:r w:rsidR="00E87FB4">
        <w:rPr>
          <w:rFonts w:ascii="Source Sans Pro" w:eastAsia="標楷體" w:hAnsi="Source Sans Pro" w:hint="eastAsia"/>
          <w:sz w:val="28"/>
          <w:szCs w:val="28"/>
        </w:rPr>
        <w:t>，其中美國股票（</w:t>
      </w:r>
      <w:r w:rsidR="00E87FB4">
        <w:rPr>
          <w:rFonts w:ascii="Source Sans Pro" w:eastAsia="標楷體" w:hAnsi="Source Sans Pro" w:hint="eastAsia"/>
          <w:sz w:val="28"/>
          <w:szCs w:val="28"/>
        </w:rPr>
        <w:t>5.09%</w:t>
      </w:r>
      <w:r w:rsidR="00E87FB4">
        <w:rPr>
          <w:rFonts w:ascii="Source Sans Pro" w:eastAsia="標楷體" w:hAnsi="Source Sans Pro" w:hint="eastAsia"/>
          <w:sz w:val="28"/>
          <w:szCs w:val="28"/>
        </w:rPr>
        <w:t>）</w:t>
      </w:r>
      <w:r w:rsidR="00E87FB4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87FB4">
        <w:rPr>
          <w:rFonts w:ascii="Source Sans Pro" w:eastAsia="標楷體" w:hAnsi="Source Sans Pro" w:hint="eastAsia"/>
          <w:sz w:val="28"/>
          <w:szCs w:val="28"/>
        </w:rPr>
        <w:t>全球一般股票</w:t>
      </w:r>
      <w:r w:rsidR="00E87FB4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87FB4">
        <w:rPr>
          <w:rFonts w:ascii="Source Sans Pro" w:eastAsia="標楷體" w:hAnsi="Source Sans Pro" w:hint="eastAsia"/>
          <w:sz w:val="28"/>
          <w:szCs w:val="28"/>
        </w:rPr>
        <w:t>4.4</w:t>
      </w:r>
      <w:r w:rsidR="00C94B71">
        <w:rPr>
          <w:rFonts w:ascii="Source Sans Pro" w:eastAsia="標楷體" w:hAnsi="Source Sans Pro" w:hint="eastAsia"/>
          <w:sz w:val="28"/>
          <w:szCs w:val="28"/>
        </w:rPr>
        <w:t>5</w:t>
      </w:r>
      <w:r w:rsidR="00E87FB4" w:rsidRPr="00C339DF">
        <w:rPr>
          <w:rFonts w:ascii="Source Sans Pro" w:eastAsia="標楷體" w:hAnsi="Source Sans Pro"/>
          <w:sz w:val="28"/>
          <w:szCs w:val="28"/>
        </w:rPr>
        <w:t>%</w:t>
      </w:r>
      <w:r w:rsidR="00E87FB4" w:rsidRPr="00C339DF">
        <w:rPr>
          <w:rFonts w:ascii="Source Sans Pro" w:eastAsia="標楷體" w:hAnsi="Source Sans Pro"/>
          <w:sz w:val="28"/>
          <w:szCs w:val="28"/>
        </w:rPr>
        <w:t>，台幣</w:t>
      </w:r>
      <w:r w:rsidR="00E87FB4">
        <w:rPr>
          <w:rFonts w:ascii="Source Sans Pro" w:eastAsia="標楷體" w:hAnsi="Source Sans Pro" w:hint="eastAsia"/>
          <w:sz w:val="28"/>
          <w:szCs w:val="28"/>
        </w:rPr>
        <w:t>3.8</w:t>
      </w:r>
      <w:r w:rsidR="00C94B71">
        <w:rPr>
          <w:rFonts w:ascii="Source Sans Pro" w:eastAsia="標楷體" w:hAnsi="Source Sans Pro" w:hint="eastAsia"/>
          <w:sz w:val="28"/>
          <w:szCs w:val="28"/>
        </w:rPr>
        <w:t>2</w:t>
      </w:r>
      <w:r w:rsidR="00E87FB4" w:rsidRPr="00C339DF">
        <w:rPr>
          <w:rFonts w:ascii="Source Sans Pro" w:eastAsia="標楷體" w:hAnsi="Source Sans Pro"/>
          <w:sz w:val="28"/>
          <w:szCs w:val="28"/>
        </w:rPr>
        <w:t>%</w:t>
      </w:r>
      <w:r w:rsidR="00E87FB4" w:rsidRPr="00C339DF">
        <w:rPr>
          <w:rFonts w:ascii="Source Sans Pro" w:eastAsia="標楷體" w:hAnsi="Source Sans Pro"/>
          <w:sz w:val="28"/>
          <w:szCs w:val="28"/>
        </w:rPr>
        <w:t>）</w:t>
      </w:r>
      <w:r w:rsidR="00E87FB4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87FB4">
        <w:rPr>
          <w:rFonts w:ascii="Source Sans Pro" w:eastAsia="標楷體" w:hAnsi="Source Sans Pro" w:hint="eastAsia"/>
          <w:sz w:val="28"/>
          <w:szCs w:val="28"/>
        </w:rPr>
        <w:t>大中華區</w:t>
      </w:r>
      <w:r w:rsidR="00E87FB4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87FB4">
        <w:rPr>
          <w:rFonts w:ascii="Source Sans Pro" w:eastAsia="標楷體" w:hAnsi="Source Sans Pro" w:hint="eastAsia"/>
          <w:sz w:val="28"/>
          <w:szCs w:val="28"/>
        </w:rPr>
        <w:lastRenderedPageBreak/>
        <w:t>4.34</w:t>
      </w:r>
      <w:r w:rsidR="00E87FB4" w:rsidRPr="00C339DF">
        <w:rPr>
          <w:rFonts w:ascii="Source Sans Pro" w:eastAsia="標楷體" w:hAnsi="Source Sans Pro"/>
          <w:sz w:val="28"/>
          <w:szCs w:val="28"/>
        </w:rPr>
        <w:t>%</w:t>
      </w:r>
      <w:r w:rsidR="00E87FB4" w:rsidRPr="00C339DF">
        <w:rPr>
          <w:rFonts w:ascii="Source Sans Pro" w:eastAsia="標楷體" w:hAnsi="Source Sans Pro"/>
          <w:sz w:val="28"/>
          <w:szCs w:val="28"/>
        </w:rPr>
        <w:t>，台幣</w:t>
      </w:r>
      <w:r w:rsidR="00E87FB4">
        <w:rPr>
          <w:rFonts w:ascii="Source Sans Pro" w:eastAsia="標楷體" w:hAnsi="Source Sans Pro" w:hint="eastAsia"/>
          <w:sz w:val="28"/>
          <w:szCs w:val="28"/>
        </w:rPr>
        <w:t>4.26</w:t>
      </w:r>
      <w:r w:rsidR="00E87FB4" w:rsidRPr="00C339DF">
        <w:rPr>
          <w:rFonts w:ascii="Source Sans Pro" w:eastAsia="標楷體" w:hAnsi="Source Sans Pro"/>
          <w:sz w:val="28"/>
          <w:szCs w:val="28"/>
        </w:rPr>
        <w:t>%</w:t>
      </w:r>
      <w:r w:rsidR="00E87FB4" w:rsidRPr="00C339DF">
        <w:rPr>
          <w:rFonts w:ascii="Source Sans Pro" w:eastAsia="標楷體" w:hAnsi="Source Sans Pro"/>
          <w:sz w:val="28"/>
          <w:szCs w:val="28"/>
        </w:rPr>
        <w:t>）</w:t>
      </w:r>
      <w:r w:rsidR="00E87FB4">
        <w:rPr>
          <w:rFonts w:ascii="Source Sans Pro" w:eastAsia="標楷體" w:hAnsi="Source Sans Pro" w:hint="eastAsia"/>
          <w:sz w:val="28"/>
          <w:szCs w:val="28"/>
        </w:rPr>
        <w:t>表現較佳</w:t>
      </w:r>
      <w:r w:rsidR="00E87FB4" w:rsidRPr="00C339DF">
        <w:rPr>
          <w:rFonts w:ascii="Source Sans Pro" w:eastAsia="標楷體" w:hAnsi="Source Sans Pro"/>
          <w:sz w:val="28"/>
          <w:szCs w:val="28"/>
        </w:rPr>
        <w:t>。</w:t>
      </w:r>
      <w:r w:rsidR="00E87FB4">
        <w:rPr>
          <w:rFonts w:ascii="Source Sans Pro" w:eastAsia="標楷體" w:hAnsi="Source Sans Pro" w:hint="eastAsia"/>
          <w:sz w:val="28"/>
          <w:szCs w:val="28"/>
        </w:rPr>
        <w:t>債券型基金因殖利率回落而小有斬獲，其中一般型債券</w:t>
      </w:r>
      <w:r w:rsidR="00E87FB4">
        <w:rPr>
          <w:rFonts w:ascii="Source Sans Pro" w:eastAsia="標楷體" w:hAnsi="Source Sans Pro" w:hint="eastAsia"/>
          <w:sz w:val="28"/>
          <w:szCs w:val="28"/>
        </w:rPr>
        <w:t>ETF</w:t>
      </w:r>
      <w:r w:rsidR="00E87FB4">
        <w:rPr>
          <w:rFonts w:ascii="Source Sans Pro" w:eastAsia="標楷體" w:hAnsi="Source Sans Pro" w:hint="eastAsia"/>
          <w:sz w:val="28"/>
          <w:szCs w:val="28"/>
        </w:rPr>
        <w:t>（</w:t>
      </w:r>
      <w:r w:rsidR="00E87FB4">
        <w:rPr>
          <w:rFonts w:ascii="Source Sans Pro" w:eastAsia="標楷體" w:hAnsi="Source Sans Pro" w:hint="eastAsia"/>
          <w:sz w:val="28"/>
          <w:szCs w:val="28"/>
        </w:rPr>
        <w:t>2.8</w:t>
      </w:r>
      <w:r w:rsidR="007164D6">
        <w:rPr>
          <w:rFonts w:ascii="Source Sans Pro" w:eastAsia="標楷體" w:hAnsi="Source Sans Pro" w:hint="eastAsia"/>
          <w:sz w:val="28"/>
          <w:szCs w:val="28"/>
        </w:rPr>
        <w:t>3</w:t>
      </w:r>
      <w:r w:rsidR="00E87FB4">
        <w:rPr>
          <w:rFonts w:ascii="Source Sans Pro" w:eastAsia="標楷體" w:hAnsi="Source Sans Pro" w:hint="eastAsia"/>
          <w:sz w:val="28"/>
          <w:szCs w:val="28"/>
        </w:rPr>
        <w:t>%</w:t>
      </w:r>
      <w:r w:rsidR="00E87FB4">
        <w:rPr>
          <w:rFonts w:ascii="Source Sans Pro" w:eastAsia="標楷體" w:hAnsi="Source Sans Pro" w:hint="eastAsia"/>
          <w:sz w:val="28"/>
          <w:szCs w:val="28"/>
        </w:rPr>
        <w:t>）</w:t>
      </w:r>
      <w:r w:rsidR="00E87FB4"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E87FB4">
        <w:rPr>
          <w:rFonts w:ascii="Source Sans Pro" w:eastAsia="標楷體" w:hAnsi="Source Sans Pro" w:hint="eastAsia"/>
          <w:sz w:val="28"/>
          <w:szCs w:val="28"/>
        </w:rPr>
        <w:t>美國投資等級債（</w:t>
      </w:r>
      <w:r w:rsidR="00E87FB4">
        <w:rPr>
          <w:rFonts w:ascii="Source Sans Pro" w:eastAsia="標楷體" w:hAnsi="Source Sans Pro" w:hint="eastAsia"/>
          <w:sz w:val="28"/>
          <w:szCs w:val="28"/>
        </w:rPr>
        <w:t>1.74%</w:t>
      </w:r>
      <w:r w:rsidR="00E87FB4">
        <w:rPr>
          <w:rFonts w:ascii="Source Sans Pro" w:eastAsia="標楷體" w:hAnsi="Source Sans Pro" w:hint="eastAsia"/>
          <w:sz w:val="28"/>
          <w:szCs w:val="28"/>
        </w:rPr>
        <w:t>）表現較佳</w:t>
      </w:r>
      <w:r w:rsidR="00E87FB4" w:rsidRPr="00C339DF">
        <w:rPr>
          <w:rFonts w:ascii="Source Sans Pro" w:eastAsia="標楷體" w:hAnsi="Source Sans Pro"/>
          <w:sz w:val="28"/>
          <w:szCs w:val="28"/>
        </w:rPr>
        <w:t>。</w:t>
      </w:r>
      <w:r w:rsidR="00E87FB4">
        <w:rPr>
          <w:rFonts w:ascii="Source Sans Pro" w:eastAsia="標楷體" w:hAnsi="Source Sans Pro" w:hint="eastAsia"/>
          <w:sz w:val="28"/>
          <w:szCs w:val="28"/>
        </w:rPr>
        <w:t>平衡型基金方面，台股平衡型（</w:t>
      </w:r>
      <w:r w:rsidR="00E87FB4">
        <w:rPr>
          <w:rFonts w:ascii="Source Sans Pro" w:eastAsia="標楷體" w:hAnsi="Source Sans Pro" w:hint="eastAsia"/>
          <w:sz w:val="28"/>
          <w:szCs w:val="28"/>
        </w:rPr>
        <w:t>5.89%</w:t>
      </w:r>
      <w:r w:rsidR="00E87FB4">
        <w:rPr>
          <w:rFonts w:ascii="Source Sans Pro" w:eastAsia="標楷體" w:hAnsi="Source Sans Pro" w:hint="eastAsia"/>
          <w:sz w:val="28"/>
          <w:szCs w:val="28"/>
        </w:rPr>
        <w:t>）優於全球平衡型</w:t>
      </w:r>
      <w:r w:rsidR="00E87FB4"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87FB4">
        <w:rPr>
          <w:rFonts w:ascii="Source Sans Pro" w:eastAsia="標楷體" w:hAnsi="Source Sans Pro" w:hint="eastAsia"/>
          <w:sz w:val="28"/>
          <w:szCs w:val="28"/>
        </w:rPr>
        <w:t>1.55</w:t>
      </w:r>
      <w:r w:rsidR="00E87FB4" w:rsidRPr="00C339DF">
        <w:rPr>
          <w:rFonts w:ascii="Source Sans Pro" w:eastAsia="標楷體" w:hAnsi="Source Sans Pro"/>
          <w:sz w:val="28"/>
          <w:szCs w:val="28"/>
        </w:rPr>
        <w:t>%</w:t>
      </w:r>
      <w:r w:rsidR="00E87FB4" w:rsidRPr="00C339DF">
        <w:rPr>
          <w:rFonts w:ascii="Source Sans Pro" w:eastAsia="標楷體" w:hAnsi="Source Sans Pro"/>
          <w:sz w:val="28"/>
          <w:szCs w:val="28"/>
        </w:rPr>
        <w:t>，台幣</w:t>
      </w:r>
      <w:r w:rsidR="00E87FB4">
        <w:rPr>
          <w:rFonts w:ascii="Source Sans Pro" w:eastAsia="標楷體" w:hAnsi="Source Sans Pro" w:hint="eastAsia"/>
          <w:sz w:val="28"/>
          <w:szCs w:val="28"/>
        </w:rPr>
        <w:t>1.68</w:t>
      </w:r>
      <w:r w:rsidR="00E87FB4" w:rsidRPr="00C339DF">
        <w:rPr>
          <w:rFonts w:ascii="Source Sans Pro" w:eastAsia="標楷體" w:hAnsi="Source Sans Pro"/>
          <w:sz w:val="28"/>
          <w:szCs w:val="28"/>
        </w:rPr>
        <w:t>%</w:t>
      </w:r>
      <w:r w:rsidR="00E87FB4" w:rsidRPr="00C339DF">
        <w:rPr>
          <w:rFonts w:ascii="Source Sans Pro" w:eastAsia="標楷體" w:hAnsi="Source Sans Pro"/>
          <w:sz w:val="28"/>
          <w:szCs w:val="28"/>
        </w:rPr>
        <w:t>）。</w:t>
      </w:r>
    </w:p>
    <w:p w14:paraId="4D5C4C0B" w14:textId="68DE0E59" w:rsidR="00E87FB4" w:rsidRDefault="00E87FB4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29D949B2" w14:textId="3D97CD09" w:rsidR="00E87FB4" w:rsidRDefault="00E87FB4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第二季基金表現仍以台股基金（</w:t>
      </w:r>
      <w:r>
        <w:rPr>
          <w:rFonts w:ascii="Source Sans Pro" w:eastAsia="標楷體" w:hAnsi="Source Sans Pro" w:hint="eastAsia"/>
          <w:sz w:val="28"/>
          <w:szCs w:val="28"/>
        </w:rPr>
        <w:t>8.9</w:t>
      </w:r>
      <w:r w:rsidR="004D640F">
        <w:rPr>
          <w:rFonts w:ascii="Source Sans Pro" w:eastAsia="標楷體" w:hAnsi="Source Sans Pro" w:hint="eastAsia"/>
          <w:sz w:val="28"/>
          <w:szCs w:val="28"/>
        </w:rPr>
        <w:t>3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）最佳，一般股票型（</w:t>
      </w:r>
      <w:r>
        <w:rPr>
          <w:rFonts w:ascii="Source Sans Pro" w:eastAsia="標楷體" w:hAnsi="Source Sans Pro" w:hint="eastAsia"/>
          <w:sz w:val="28"/>
          <w:szCs w:val="28"/>
        </w:rPr>
        <w:t>10.55%</w:t>
      </w:r>
      <w:r>
        <w:rPr>
          <w:rFonts w:ascii="Source Sans Pro" w:eastAsia="標楷體" w:hAnsi="Source Sans Pro" w:hint="eastAsia"/>
          <w:sz w:val="28"/>
          <w:szCs w:val="28"/>
        </w:rPr>
        <w:t>）在子類中最佳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跨國投資股票型（</w:t>
      </w:r>
      <w:r>
        <w:rPr>
          <w:rFonts w:ascii="Source Sans Pro" w:eastAsia="標楷體" w:hAnsi="Source Sans Pro" w:hint="eastAsia"/>
          <w:sz w:val="28"/>
          <w:szCs w:val="28"/>
        </w:rPr>
        <w:t>6.32%</w:t>
      </w:r>
      <w:r>
        <w:rPr>
          <w:rFonts w:ascii="Source Sans Pro" w:eastAsia="標楷體" w:hAnsi="Source Sans Pro" w:hint="eastAsia"/>
          <w:sz w:val="28"/>
          <w:szCs w:val="28"/>
        </w:rPr>
        <w:t>）表現也不錯，其中又以大中華區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13.45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11.61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最出色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債券型基金報酬率大多為正數，美國投資等級債（</w:t>
      </w:r>
      <w:r>
        <w:rPr>
          <w:rFonts w:ascii="Source Sans Pro" w:eastAsia="標楷體" w:hAnsi="Source Sans Pro" w:hint="eastAsia"/>
          <w:sz w:val="28"/>
          <w:szCs w:val="28"/>
        </w:rPr>
        <w:t>2.36%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一般</w:t>
      </w:r>
      <w:r w:rsidR="00B42C35">
        <w:rPr>
          <w:rFonts w:ascii="Source Sans Pro" w:eastAsia="標楷體" w:hAnsi="Source Sans Pro" w:hint="eastAsia"/>
          <w:sz w:val="28"/>
          <w:szCs w:val="28"/>
        </w:rPr>
        <w:t>型</w:t>
      </w:r>
      <w:r>
        <w:rPr>
          <w:rFonts w:ascii="Source Sans Pro" w:eastAsia="標楷體" w:hAnsi="Source Sans Pro" w:hint="eastAsia"/>
          <w:sz w:val="28"/>
          <w:szCs w:val="28"/>
        </w:rPr>
        <w:t>債券</w:t>
      </w:r>
      <w:r>
        <w:rPr>
          <w:rFonts w:ascii="Source Sans Pro" w:eastAsia="標楷體" w:hAnsi="Source Sans Pro" w:hint="eastAsia"/>
          <w:sz w:val="28"/>
          <w:szCs w:val="28"/>
        </w:rPr>
        <w:t>E</w:t>
      </w:r>
      <w:r>
        <w:rPr>
          <w:rFonts w:ascii="Source Sans Pro" w:eastAsia="標楷體" w:hAnsi="Source Sans Pro"/>
          <w:sz w:val="28"/>
          <w:szCs w:val="28"/>
        </w:rPr>
        <w:t>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.3</w:t>
      </w:r>
      <w:r w:rsidR="001F1CCC">
        <w:rPr>
          <w:rFonts w:ascii="Source Sans Pro" w:eastAsia="標楷體" w:hAnsi="Source Sans Pro" w:hint="eastAsia"/>
          <w:sz w:val="28"/>
          <w:szCs w:val="28"/>
        </w:rPr>
        <w:t>7</w:t>
      </w:r>
      <w:r>
        <w:rPr>
          <w:rFonts w:ascii="Source Sans Pro" w:eastAsia="標楷體" w:hAnsi="Source Sans Pro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新興市場高收益債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2.35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1.48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是表現較佳子類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台股平衡型（</w:t>
      </w:r>
      <w:r>
        <w:rPr>
          <w:rFonts w:ascii="Source Sans Pro" w:eastAsia="標楷體" w:hAnsi="Source Sans Pro" w:hint="eastAsia"/>
          <w:sz w:val="28"/>
          <w:szCs w:val="28"/>
        </w:rPr>
        <w:t>7.02%</w:t>
      </w:r>
      <w:r>
        <w:rPr>
          <w:rFonts w:ascii="Source Sans Pro" w:eastAsia="標楷體" w:hAnsi="Source Sans Pro" w:hint="eastAsia"/>
          <w:sz w:val="28"/>
          <w:szCs w:val="28"/>
        </w:rPr>
        <w:t>）報酬率相當出色，優於全球平衡型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3.63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2.35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及多重資產型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4.13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3.31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）。</w:t>
      </w:r>
      <w:r>
        <w:rPr>
          <w:rFonts w:ascii="Source Sans Pro" w:eastAsia="標楷體" w:hAnsi="Source Sans Pro" w:hint="eastAsia"/>
          <w:sz w:val="28"/>
          <w:szCs w:val="28"/>
        </w:rPr>
        <w:t>不動產證券化基金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5.2</w:t>
      </w:r>
      <w:r w:rsidR="00C94B71">
        <w:rPr>
          <w:rFonts w:ascii="Source Sans Pro" w:eastAsia="標楷體" w:hAnsi="Source Sans Pro" w:hint="eastAsia"/>
          <w:sz w:val="28"/>
          <w:szCs w:val="28"/>
        </w:rPr>
        <w:t>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4.</w:t>
      </w:r>
      <w:r w:rsidR="00C94B71">
        <w:rPr>
          <w:rFonts w:ascii="Source Sans Pro" w:eastAsia="標楷體" w:hAnsi="Source Sans Pro" w:hint="eastAsia"/>
          <w:sz w:val="28"/>
          <w:szCs w:val="28"/>
        </w:rPr>
        <w:t>24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第二季也有不錯的績效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140BE691" w14:textId="2798F82F" w:rsidR="003C1261" w:rsidRDefault="003C1261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3275DCB2" w14:textId="4288EDD7" w:rsidR="003C1261" w:rsidRDefault="003C1261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台股基金上半年表現遙遙領先其他境內基金，</w:t>
      </w:r>
      <w:r>
        <w:rPr>
          <w:rFonts w:ascii="Source Sans Pro" w:eastAsia="標楷體" w:hAnsi="Source Sans Pro" w:hint="eastAsia"/>
          <w:sz w:val="28"/>
          <w:szCs w:val="28"/>
        </w:rPr>
        <w:t>188</w:t>
      </w:r>
      <w:r>
        <w:rPr>
          <w:rFonts w:ascii="Source Sans Pro" w:eastAsia="標楷體" w:hAnsi="Source Sans Pro" w:hint="eastAsia"/>
          <w:sz w:val="28"/>
          <w:szCs w:val="28"/>
        </w:rPr>
        <w:t>檔台股基金平均報酬率</w:t>
      </w:r>
      <w:r>
        <w:rPr>
          <w:rFonts w:ascii="Source Sans Pro" w:eastAsia="標楷體" w:hAnsi="Source Sans Pro" w:hint="eastAsia"/>
          <w:sz w:val="28"/>
          <w:szCs w:val="28"/>
        </w:rPr>
        <w:t>25.32%</w:t>
      </w:r>
      <w:r>
        <w:rPr>
          <w:rFonts w:ascii="Source Sans Pro" w:eastAsia="標楷體" w:hAnsi="Source Sans Pro" w:hint="eastAsia"/>
          <w:sz w:val="28"/>
          <w:szCs w:val="28"/>
        </w:rPr>
        <w:t>，超過加權股價報酬指數（</w:t>
      </w:r>
      <w:r>
        <w:rPr>
          <w:rFonts w:ascii="Source Sans Pro" w:eastAsia="標楷體" w:hAnsi="Source Sans Pro" w:hint="eastAsia"/>
          <w:sz w:val="28"/>
          <w:szCs w:val="28"/>
        </w:rPr>
        <w:t>21.09%</w:t>
      </w:r>
      <w:r>
        <w:rPr>
          <w:rFonts w:ascii="Source Sans Pro" w:eastAsia="標楷體" w:hAnsi="Source Sans Pro" w:hint="eastAsia"/>
          <w:sz w:val="28"/>
          <w:szCs w:val="28"/>
        </w:rPr>
        <w:t>）達</w:t>
      </w:r>
      <w:r>
        <w:rPr>
          <w:rFonts w:ascii="Source Sans Pro" w:eastAsia="標楷體" w:hAnsi="Source Sans Pro" w:hint="eastAsia"/>
          <w:sz w:val="28"/>
          <w:szCs w:val="28"/>
        </w:rPr>
        <w:t>4.23%</w:t>
      </w:r>
      <w:r>
        <w:rPr>
          <w:rFonts w:ascii="Source Sans Pro" w:eastAsia="標楷體" w:hAnsi="Source Sans Pro" w:hint="eastAsia"/>
          <w:sz w:val="28"/>
          <w:szCs w:val="28"/>
        </w:rPr>
        <w:t>，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21</w:t>
      </w:r>
      <w:r>
        <w:rPr>
          <w:rFonts w:ascii="Source Sans Pro" w:eastAsia="標楷體" w:hAnsi="Source Sans Pro" w:hint="eastAsia"/>
          <w:sz w:val="28"/>
          <w:szCs w:val="28"/>
        </w:rPr>
        <w:t>檔擊敗大盤（比例</w:t>
      </w:r>
      <w:r>
        <w:rPr>
          <w:rFonts w:ascii="Source Sans Pro" w:eastAsia="標楷體" w:hAnsi="Source Sans Pro" w:hint="eastAsia"/>
          <w:sz w:val="28"/>
          <w:szCs w:val="28"/>
        </w:rPr>
        <w:t>64.36%</w:t>
      </w:r>
      <w:r>
        <w:rPr>
          <w:rFonts w:ascii="Source Sans Pro" w:eastAsia="標楷體" w:hAnsi="Source Sans Pro" w:hint="eastAsia"/>
          <w:sz w:val="28"/>
          <w:szCs w:val="28"/>
        </w:rPr>
        <w:t>），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84</w:t>
      </w:r>
      <w:r>
        <w:rPr>
          <w:rFonts w:ascii="Source Sans Pro" w:eastAsia="標楷體" w:hAnsi="Source Sans Pro" w:hint="eastAsia"/>
          <w:sz w:val="28"/>
          <w:szCs w:val="28"/>
        </w:rPr>
        <w:t>檔為正報酬，也就是除了反向型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，報酬率全</w:t>
      </w:r>
      <w:r w:rsidR="0092299F">
        <w:rPr>
          <w:rFonts w:ascii="Source Sans Pro" w:eastAsia="標楷體" w:hAnsi="Source Sans Pro" w:hint="eastAsia"/>
          <w:sz w:val="28"/>
          <w:szCs w:val="28"/>
        </w:rPr>
        <w:t>數</w:t>
      </w:r>
      <w:r>
        <w:rPr>
          <w:rFonts w:ascii="Source Sans Pro" w:eastAsia="標楷體" w:hAnsi="Source Sans Pro" w:hint="eastAsia"/>
          <w:sz w:val="28"/>
          <w:szCs w:val="28"/>
        </w:rPr>
        <w:t>為正，其中</w:t>
      </w:r>
      <w:r>
        <w:rPr>
          <w:rFonts w:ascii="Source Sans Pro" w:eastAsia="標楷體" w:hAnsi="Source Sans Pro" w:hint="eastAsia"/>
          <w:sz w:val="28"/>
          <w:szCs w:val="28"/>
        </w:rPr>
        <w:t>55</w:t>
      </w:r>
      <w:r>
        <w:rPr>
          <w:rFonts w:ascii="Source Sans Pro" w:eastAsia="標楷體" w:hAnsi="Source Sans Pro" w:hint="eastAsia"/>
          <w:sz w:val="28"/>
          <w:szCs w:val="28"/>
        </w:rPr>
        <w:t>檔台股基金報酬率超過</w:t>
      </w:r>
      <w:r>
        <w:rPr>
          <w:rFonts w:ascii="Source Sans Pro" w:eastAsia="標楷體" w:hAnsi="Source Sans Pro" w:hint="eastAsia"/>
          <w:sz w:val="28"/>
          <w:szCs w:val="28"/>
        </w:rPr>
        <w:t>30%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各</w:t>
      </w:r>
      <w:r>
        <w:rPr>
          <w:rFonts w:ascii="Source Sans Pro" w:eastAsia="標楷體" w:hAnsi="Source Sans Pro" w:hint="eastAsia"/>
          <w:sz w:val="28"/>
          <w:szCs w:val="28"/>
        </w:rPr>
        <w:lastRenderedPageBreak/>
        <w:t>子類報酬率普遍超過</w:t>
      </w:r>
      <w:r>
        <w:rPr>
          <w:rFonts w:ascii="Source Sans Pro" w:eastAsia="標楷體" w:hAnsi="Source Sans Pro" w:hint="eastAsia"/>
          <w:sz w:val="28"/>
          <w:szCs w:val="28"/>
        </w:rPr>
        <w:t>25%</w:t>
      </w:r>
      <w:r>
        <w:rPr>
          <w:rFonts w:ascii="Source Sans Pro" w:eastAsia="標楷體" w:hAnsi="Source Sans Pro" w:hint="eastAsia"/>
          <w:sz w:val="28"/>
          <w:szCs w:val="28"/>
        </w:rPr>
        <w:t>，價值型（</w:t>
      </w:r>
      <w:r>
        <w:rPr>
          <w:rFonts w:ascii="Source Sans Pro" w:eastAsia="標楷體" w:hAnsi="Source Sans Pro" w:hint="eastAsia"/>
          <w:sz w:val="28"/>
          <w:szCs w:val="28"/>
        </w:rPr>
        <w:t>19.65%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一般型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9.94%</w:t>
      </w:r>
      <w:r>
        <w:rPr>
          <w:rFonts w:ascii="Source Sans Pro" w:eastAsia="標楷體" w:hAnsi="Source Sans Pro" w:hint="eastAsia"/>
          <w:sz w:val="28"/>
          <w:szCs w:val="28"/>
        </w:rPr>
        <w:t>）算是表現較差的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反向型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>
        <w:rPr>
          <w:rFonts w:ascii="Source Sans Pro" w:eastAsia="標楷體" w:hAnsi="Source Sans Pro"/>
          <w:sz w:val="28"/>
          <w:szCs w:val="28"/>
        </w:rPr>
        <w:t>21.35%</w:t>
      </w:r>
      <w:r>
        <w:rPr>
          <w:rFonts w:ascii="Source Sans Pro" w:eastAsia="標楷體" w:hAnsi="Source Sans Pro" w:hint="eastAsia"/>
          <w:sz w:val="28"/>
          <w:szCs w:val="28"/>
        </w:rPr>
        <w:t>）在多頭市場有大損失並不意外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富邦</w:t>
      </w:r>
      <w:r w:rsidR="00C94B71">
        <w:rPr>
          <w:rFonts w:ascii="Source Sans Pro" w:eastAsia="標楷體" w:hAnsi="Source Sans Pro" w:hint="eastAsia"/>
          <w:sz w:val="28"/>
          <w:szCs w:val="28"/>
        </w:rPr>
        <w:t>臺</w:t>
      </w:r>
      <w:r>
        <w:rPr>
          <w:rFonts w:ascii="Source Sans Pro" w:eastAsia="標楷體" w:hAnsi="Source Sans Pro" w:hint="eastAsia"/>
          <w:sz w:val="28"/>
          <w:szCs w:val="28"/>
        </w:rPr>
        <w:t>灣中小</w:t>
      </w:r>
      <w:r>
        <w:rPr>
          <w:rFonts w:ascii="Source Sans Pro" w:eastAsia="標楷體" w:hAnsi="Source Sans Pro" w:hint="eastAsia"/>
          <w:sz w:val="28"/>
          <w:szCs w:val="28"/>
        </w:rPr>
        <w:t>A</w:t>
      </w:r>
      <w:r>
        <w:rPr>
          <w:rFonts w:ascii="Source Sans Pro" w:eastAsia="標楷體" w:hAnsi="Source Sans Pro" w:hint="eastAsia"/>
          <w:sz w:val="28"/>
          <w:szCs w:val="28"/>
        </w:rPr>
        <w:t>級動能</w:t>
      </w:r>
      <w:r>
        <w:rPr>
          <w:rFonts w:ascii="Source Sans Pro" w:eastAsia="標楷體" w:hAnsi="Source Sans Pro" w:hint="eastAsia"/>
          <w:sz w:val="28"/>
          <w:szCs w:val="28"/>
        </w:rPr>
        <w:t xml:space="preserve">50 </w:t>
      </w:r>
      <w:r>
        <w:rPr>
          <w:rFonts w:ascii="Source Sans Pro" w:eastAsia="標楷體" w:hAnsi="Source Sans Pro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7</w:t>
      </w:r>
      <w:r>
        <w:rPr>
          <w:rFonts w:ascii="Source Sans Pro" w:eastAsia="標楷體" w:hAnsi="Source Sans Pro"/>
          <w:sz w:val="28"/>
          <w:szCs w:val="28"/>
        </w:rPr>
        <w:t>3.61%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統一奔騰（</w:t>
      </w:r>
      <w:r>
        <w:rPr>
          <w:rFonts w:ascii="Source Sans Pro" w:eastAsia="標楷體" w:hAnsi="Source Sans Pro" w:hint="eastAsia"/>
          <w:sz w:val="28"/>
          <w:szCs w:val="28"/>
        </w:rPr>
        <w:t>61.54%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統一黑馬（</w:t>
      </w:r>
      <w:r>
        <w:rPr>
          <w:rFonts w:ascii="Source Sans Pro" w:eastAsia="標楷體" w:hAnsi="Source Sans Pro" w:hint="eastAsia"/>
          <w:sz w:val="28"/>
          <w:szCs w:val="28"/>
        </w:rPr>
        <w:t>58.60%</w:t>
      </w:r>
      <w:r>
        <w:rPr>
          <w:rFonts w:ascii="Source Sans Pro" w:eastAsia="標楷體" w:hAnsi="Source Sans Pro" w:hint="eastAsia"/>
          <w:sz w:val="28"/>
          <w:szCs w:val="28"/>
        </w:rPr>
        <w:t>）是上半年台股基金，也是所有境內基金的前三名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56</w:t>
      </w:r>
      <w:r w:rsidR="00C94B71">
        <w:rPr>
          <w:rFonts w:ascii="Source Sans Pro" w:eastAsia="標楷體" w:hAnsi="Source Sans Pro" w:hint="eastAsia"/>
          <w:sz w:val="28"/>
          <w:szCs w:val="28"/>
        </w:rPr>
        <w:t>9</w:t>
      </w:r>
      <w:r>
        <w:rPr>
          <w:rFonts w:ascii="Source Sans Pro" w:eastAsia="標楷體" w:hAnsi="Source Sans Pro" w:hint="eastAsia"/>
          <w:sz w:val="28"/>
          <w:szCs w:val="28"/>
        </w:rPr>
        <w:t>檔跨國投資股票基金上半年平均報酬率</w:t>
      </w:r>
      <w:r>
        <w:rPr>
          <w:rFonts w:ascii="Source Sans Pro" w:eastAsia="標楷體" w:hAnsi="Source Sans Pro" w:hint="eastAsia"/>
          <w:sz w:val="28"/>
          <w:szCs w:val="28"/>
        </w:rPr>
        <w:t>5.6</w:t>
      </w:r>
      <w:r w:rsidR="00C94B71">
        <w:rPr>
          <w:rFonts w:ascii="Source Sans Pro" w:eastAsia="標楷體" w:hAnsi="Source Sans Pro" w:hint="eastAsia"/>
          <w:sz w:val="28"/>
          <w:szCs w:val="28"/>
        </w:rPr>
        <w:t>8</w:t>
      </w:r>
      <w:r>
        <w:rPr>
          <w:rFonts w:ascii="Source Sans Pro" w:eastAsia="標楷體" w:hAnsi="Source Sans Pro" w:hint="eastAsia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，與台股基金相去甚遠，第一名中國信託越南機會－美元（</w:t>
      </w:r>
      <w:r>
        <w:rPr>
          <w:rFonts w:ascii="Source Sans Pro" w:eastAsia="標楷體" w:hAnsi="Source Sans Pro" w:hint="eastAsia"/>
          <w:sz w:val="28"/>
          <w:szCs w:val="28"/>
        </w:rPr>
        <w:t>36.08%</w:t>
      </w:r>
      <w:r>
        <w:rPr>
          <w:rFonts w:ascii="Source Sans Pro" w:eastAsia="標楷體" w:hAnsi="Source Sans Pro" w:hint="eastAsia"/>
          <w:sz w:val="28"/>
          <w:szCs w:val="28"/>
        </w:rPr>
        <w:t>）報酬率落在台股基金前三十名之後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表現較佳的子類有全球資源型（</w:t>
      </w:r>
      <w:r w:rsidR="00EA16F4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EA16F4">
        <w:rPr>
          <w:rFonts w:ascii="Source Sans Pro" w:eastAsia="標楷體" w:hAnsi="Source Sans Pro" w:hint="eastAsia"/>
          <w:sz w:val="28"/>
          <w:szCs w:val="28"/>
        </w:rPr>
        <w:t>9.32</w:t>
      </w:r>
      <w:r w:rsidR="00EA16F4" w:rsidRPr="00C339DF">
        <w:rPr>
          <w:rFonts w:ascii="Source Sans Pro" w:eastAsia="標楷體" w:hAnsi="Source Sans Pro"/>
          <w:sz w:val="28"/>
          <w:szCs w:val="28"/>
        </w:rPr>
        <w:t>%</w:t>
      </w:r>
      <w:r w:rsidR="00EA16F4" w:rsidRPr="00C339DF">
        <w:rPr>
          <w:rFonts w:ascii="Source Sans Pro" w:eastAsia="標楷體" w:hAnsi="Source Sans Pro"/>
          <w:sz w:val="28"/>
          <w:szCs w:val="28"/>
        </w:rPr>
        <w:t>，台幣</w:t>
      </w:r>
      <w:r w:rsidR="00EA16F4">
        <w:rPr>
          <w:rFonts w:ascii="Source Sans Pro" w:eastAsia="標楷體" w:hAnsi="Source Sans Pro" w:hint="eastAsia"/>
          <w:sz w:val="28"/>
          <w:szCs w:val="28"/>
        </w:rPr>
        <w:t>9.45</w:t>
      </w:r>
      <w:r w:rsidR="00EA16F4" w:rsidRPr="00C339DF">
        <w:rPr>
          <w:rFonts w:ascii="Source Sans Pro" w:eastAsia="標楷體" w:hAnsi="Source Sans Pro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歐洲股票（</w:t>
      </w:r>
      <w:r w:rsidR="00EA16F4" w:rsidRPr="00C339DF">
        <w:rPr>
          <w:rFonts w:ascii="Source Sans Pro" w:eastAsia="標楷體" w:hAnsi="Source Sans Pro"/>
          <w:sz w:val="28"/>
          <w:szCs w:val="28"/>
        </w:rPr>
        <w:t>全部幣別</w:t>
      </w:r>
      <w:r w:rsidR="00EA16F4">
        <w:rPr>
          <w:rFonts w:ascii="Source Sans Pro" w:eastAsia="標楷體" w:hAnsi="Source Sans Pro" w:hint="eastAsia"/>
          <w:sz w:val="28"/>
          <w:szCs w:val="28"/>
        </w:rPr>
        <w:t>-10.48</w:t>
      </w:r>
      <w:r w:rsidR="00EA16F4" w:rsidRPr="00C339DF">
        <w:rPr>
          <w:rFonts w:ascii="Source Sans Pro" w:eastAsia="標楷體" w:hAnsi="Source Sans Pro"/>
          <w:sz w:val="28"/>
          <w:szCs w:val="28"/>
        </w:rPr>
        <w:t>%</w:t>
      </w:r>
      <w:r w:rsidR="00EA16F4" w:rsidRPr="00C339DF">
        <w:rPr>
          <w:rFonts w:ascii="Source Sans Pro" w:eastAsia="標楷體" w:hAnsi="Source Sans Pro"/>
          <w:sz w:val="28"/>
          <w:szCs w:val="28"/>
        </w:rPr>
        <w:t>，台幣</w:t>
      </w:r>
      <w:r w:rsidR="00EA16F4">
        <w:rPr>
          <w:rFonts w:ascii="Source Sans Pro" w:eastAsia="標楷體" w:hAnsi="Source Sans Pro" w:hint="eastAsia"/>
          <w:sz w:val="28"/>
          <w:szCs w:val="28"/>
        </w:rPr>
        <w:t>10.48</w:t>
      </w:r>
      <w:r w:rsidR="00EA16F4" w:rsidRPr="00C339DF">
        <w:rPr>
          <w:rFonts w:ascii="Source Sans Pro" w:eastAsia="標楷體" w:hAnsi="Source Sans Pro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美國股票（</w:t>
      </w:r>
      <w:r>
        <w:rPr>
          <w:rFonts w:ascii="Source Sans Pro" w:eastAsia="標楷體" w:hAnsi="Source Sans Pro" w:hint="eastAsia"/>
          <w:sz w:val="28"/>
          <w:szCs w:val="28"/>
        </w:rPr>
        <w:t>8.02%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一般型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則以產業型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3.77%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美國股票</w:t>
      </w:r>
      <w:r>
        <w:rPr>
          <w:rFonts w:ascii="Source Sans Pro" w:eastAsia="標楷體" w:hAnsi="Source Sans Pro" w:hint="eastAsia"/>
          <w:sz w:val="28"/>
          <w:szCs w:val="28"/>
        </w:rPr>
        <w:t>ETF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0.01%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區域型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-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指數型</w:t>
      </w:r>
      <w:r w:rsidR="008A286C">
        <w:rPr>
          <w:rFonts w:ascii="Source Sans Pro" w:eastAsia="標楷體" w:hAnsi="Source Sans Pro" w:hint="eastAsia"/>
          <w:sz w:val="28"/>
          <w:szCs w:val="28"/>
        </w:rPr>
        <w:t>（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非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ETF</w:t>
      </w:r>
      <w:r w:rsidR="008A286C">
        <w:rPr>
          <w:rFonts w:ascii="Source Sans Pro" w:eastAsia="標楷體" w:hAnsi="Source Sans Pro" w:hint="eastAsia"/>
          <w:sz w:val="28"/>
          <w:szCs w:val="28"/>
        </w:rPr>
        <w:t>）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（</w:t>
      </w:r>
      <w:bookmarkStart w:id="1" w:name="_GoBack"/>
      <w:bookmarkEnd w:id="1"/>
      <w:r w:rsidR="008A286C" w:rsidRPr="008A286C">
        <w:rPr>
          <w:rFonts w:ascii="Source Sans Pro" w:eastAsia="標楷體" w:hAnsi="Source Sans Pro" w:hint="eastAsia"/>
          <w:sz w:val="28"/>
          <w:szCs w:val="28"/>
        </w:rPr>
        <w:t>8.14%</w:t>
      </w:r>
      <w:r w:rsidR="008A286C" w:rsidRPr="008A286C">
        <w:rPr>
          <w:rFonts w:ascii="Source Sans Pro" w:eastAsia="標楷體" w:hAnsi="Source Sans Pro" w:hint="eastAsia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相對較優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國人投資熱門的中國大陸</w:t>
      </w:r>
      <w:r>
        <w:rPr>
          <w:rFonts w:ascii="Source Sans Pro" w:eastAsia="標楷體" w:hAnsi="Source Sans Pro" w:hint="eastAsia"/>
          <w:sz w:val="28"/>
          <w:szCs w:val="28"/>
        </w:rPr>
        <w:t>A</w:t>
      </w:r>
      <w:r>
        <w:rPr>
          <w:rFonts w:ascii="Source Sans Pro" w:eastAsia="標楷體" w:hAnsi="Source Sans Pro" w:hint="eastAsia"/>
          <w:sz w:val="28"/>
          <w:szCs w:val="28"/>
        </w:rPr>
        <w:t>股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1.39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0.31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中國大陸一般型</w:t>
      </w:r>
      <w:r>
        <w:rPr>
          <w:rFonts w:ascii="Source Sans Pro" w:eastAsia="標楷體" w:hAnsi="Source Sans Pro" w:hint="eastAsia"/>
          <w:sz w:val="28"/>
          <w:szCs w:val="28"/>
        </w:rPr>
        <w:t>E</w:t>
      </w:r>
      <w:r>
        <w:rPr>
          <w:rFonts w:ascii="Source Sans Pro" w:eastAsia="標楷體" w:hAnsi="Source Sans Pro"/>
          <w:sz w:val="28"/>
          <w:szCs w:val="28"/>
        </w:rPr>
        <w:t>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1</w:t>
      </w:r>
      <w:r>
        <w:rPr>
          <w:rFonts w:ascii="Source Sans Pro" w:eastAsia="標楷體" w:hAnsi="Source Sans Pro"/>
          <w:sz w:val="28"/>
          <w:szCs w:val="28"/>
        </w:rPr>
        <w:t>.44%</w:t>
      </w:r>
      <w:r>
        <w:rPr>
          <w:rFonts w:ascii="Source Sans Pro" w:eastAsia="標楷體" w:hAnsi="Source Sans Pro" w:hint="eastAsia"/>
          <w:sz w:val="28"/>
          <w:szCs w:val="28"/>
        </w:rPr>
        <w:t>）上半年表現落後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59D56580" w14:textId="6AA3BE6F" w:rsidR="00434B11" w:rsidRDefault="00434B11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0BDC156B" w14:textId="381984BE" w:rsidR="00434B11" w:rsidRDefault="00434B11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由於殖利率上升，上半年多數債券型基金報酬為負，投資等級債的損失又比高收益債為重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一般型債券</w:t>
      </w:r>
      <w:r>
        <w:rPr>
          <w:rFonts w:ascii="Source Sans Pro" w:eastAsia="標楷體" w:hAnsi="Source Sans Pro" w:hint="eastAsia"/>
          <w:sz w:val="28"/>
          <w:szCs w:val="28"/>
        </w:rPr>
        <w:t>E</w:t>
      </w:r>
      <w:r>
        <w:rPr>
          <w:rFonts w:ascii="Source Sans Pro" w:eastAsia="標楷體" w:hAnsi="Source Sans Pro"/>
          <w:sz w:val="28"/>
          <w:szCs w:val="28"/>
        </w:rPr>
        <w:t>TF</w:t>
      </w:r>
      <w:r>
        <w:rPr>
          <w:rFonts w:ascii="Source Sans Pro" w:eastAsia="標楷體" w:hAnsi="Source Sans Pro" w:hint="eastAsia"/>
          <w:sz w:val="28"/>
          <w:szCs w:val="28"/>
        </w:rPr>
        <w:t>（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>
        <w:rPr>
          <w:rFonts w:ascii="Source Sans Pro" w:eastAsia="標楷體" w:hAnsi="Source Sans Pro"/>
          <w:sz w:val="28"/>
          <w:szCs w:val="28"/>
        </w:rPr>
        <w:t>3.</w:t>
      </w:r>
      <w:r w:rsidR="00FE2D83">
        <w:rPr>
          <w:rFonts w:ascii="Source Sans Pro" w:eastAsia="標楷體" w:hAnsi="Source Sans Pro" w:hint="eastAsia"/>
          <w:sz w:val="28"/>
          <w:szCs w:val="28"/>
        </w:rPr>
        <w:t>49</w:t>
      </w:r>
      <w:r>
        <w:rPr>
          <w:rFonts w:ascii="Source Sans Pro" w:eastAsia="標楷體" w:hAnsi="Source Sans Pro"/>
          <w:sz w:val="28"/>
          <w:szCs w:val="28"/>
        </w:rPr>
        <w:t>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美國投資等級債（</w:t>
      </w:r>
      <w:r>
        <w:rPr>
          <w:rFonts w:ascii="Source Sans Pro" w:eastAsia="標楷體" w:hAnsi="Source Sans Pro" w:hint="eastAsia"/>
          <w:sz w:val="28"/>
          <w:szCs w:val="28"/>
        </w:rPr>
        <w:t>-2.29%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全球投資等級債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-0.5</w:t>
      </w:r>
      <w:r w:rsidR="00EA16F4">
        <w:rPr>
          <w:rFonts w:ascii="Source Sans Pro" w:eastAsia="標楷體" w:hAnsi="Source Sans Pro" w:hint="eastAsia"/>
          <w:sz w:val="28"/>
          <w:szCs w:val="28"/>
        </w:rPr>
        <w:t>2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-1.80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全球新興市場投資等級債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A16F4">
        <w:rPr>
          <w:rFonts w:ascii="Source Sans Pro" w:eastAsia="標楷體" w:hAnsi="Source Sans Pro" w:hint="eastAsia"/>
          <w:sz w:val="28"/>
          <w:szCs w:val="28"/>
        </w:rPr>
        <w:t>-0.64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 w:rsidR="00EA16F4">
        <w:rPr>
          <w:rFonts w:ascii="Source Sans Pro" w:eastAsia="標楷體" w:hAnsi="Source Sans Pro" w:hint="eastAsia"/>
          <w:sz w:val="28"/>
          <w:szCs w:val="28"/>
        </w:rPr>
        <w:t>1.88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亞洲</w:t>
      </w:r>
      <w:r w:rsidR="00EA16F4">
        <w:rPr>
          <w:rFonts w:ascii="Source Sans Pro" w:eastAsia="標楷體" w:hAnsi="Source Sans Pro" w:hint="eastAsia"/>
          <w:sz w:val="28"/>
          <w:szCs w:val="28"/>
        </w:rPr>
        <w:t>新興市場</w:t>
      </w:r>
      <w:r>
        <w:rPr>
          <w:rFonts w:ascii="Source Sans Pro" w:eastAsia="標楷體" w:hAnsi="Source Sans Pro" w:hint="eastAsia"/>
          <w:sz w:val="28"/>
          <w:szCs w:val="28"/>
        </w:rPr>
        <w:t>投資等級債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-0.65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</w:t>
      </w:r>
      <w:r>
        <w:rPr>
          <w:rFonts w:ascii="Source Sans Pro" w:eastAsia="標楷體" w:hAnsi="Source Sans Pro" w:hint="eastAsia"/>
          <w:sz w:val="28"/>
          <w:szCs w:val="28"/>
        </w:rPr>
        <w:lastRenderedPageBreak/>
        <w:t>1.46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皆有相當損失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高收益債以全球高收益債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1.9</w:t>
      </w:r>
      <w:r w:rsidR="00EA16F4">
        <w:rPr>
          <w:rFonts w:ascii="Source Sans Pro" w:eastAsia="標楷體" w:hAnsi="Source Sans Pro" w:hint="eastAsia"/>
          <w:sz w:val="28"/>
          <w:szCs w:val="28"/>
        </w:rPr>
        <w:t>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0.9</w:t>
      </w:r>
      <w:r w:rsidR="00EA16F4">
        <w:rPr>
          <w:rFonts w:ascii="Source Sans Pro" w:eastAsia="標楷體" w:hAnsi="Source Sans Pro" w:hint="eastAsia"/>
          <w:sz w:val="28"/>
          <w:szCs w:val="28"/>
        </w:rPr>
        <w:t>2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表現較佳，中國大陸高收益債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-1.56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-2.89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表現最差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4F248DF3" w14:textId="48667540" w:rsidR="001F75D8" w:rsidRDefault="001F75D8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p w14:paraId="1DACE727" w14:textId="2C6D5081" w:rsidR="001F75D8" w:rsidRDefault="001F75D8" w:rsidP="00E45BD2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  <w:r>
        <w:rPr>
          <w:rFonts w:ascii="Source Sans Pro" w:eastAsia="標楷體" w:hAnsi="Source Sans Pro" w:hint="eastAsia"/>
          <w:sz w:val="28"/>
          <w:szCs w:val="28"/>
        </w:rPr>
        <w:t xml:space="preserve">　　國內股票債券平衡型基金上半年表現不俗，平均報酬率高達</w:t>
      </w:r>
      <w:r>
        <w:rPr>
          <w:rFonts w:ascii="Source Sans Pro" w:eastAsia="標楷體" w:hAnsi="Source Sans Pro" w:hint="eastAsia"/>
          <w:sz w:val="28"/>
          <w:szCs w:val="28"/>
        </w:rPr>
        <w:t>18.47%</w:t>
      </w:r>
      <w:r>
        <w:rPr>
          <w:rFonts w:ascii="Source Sans Pro" w:eastAsia="標楷體" w:hAnsi="Source Sans Pro" w:hint="eastAsia"/>
          <w:sz w:val="28"/>
          <w:szCs w:val="28"/>
        </w:rPr>
        <w:t>，前三名復華人生目標（</w:t>
      </w:r>
      <w:r>
        <w:rPr>
          <w:rFonts w:ascii="Source Sans Pro" w:eastAsia="標楷體" w:hAnsi="Source Sans Pro" w:hint="eastAsia"/>
          <w:sz w:val="28"/>
          <w:szCs w:val="28"/>
        </w:rPr>
        <w:t>2</w:t>
      </w:r>
      <w:r>
        <w:rPr>
          <w:rFonts w:ascii="Source Sans Pro" w:eastAsia="標楷體" w:hAnsi="Source Sans Pro"/>
          <w:sz w:val="28"/>
          <w:szCs w:val="28"/>
        </w:rPr>
        <w:t>7.45%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復華神盾（</w:t>
      </w:r>
      <w:r>
        <w:rPr>
          <w:rFonts w:ascii="Source Sans Pro" w:eastAsia="標楷體" w:hAnsi="Source Sans Pro" w:hint="eastAsia"/>
          <w:sz w:val="28"/>
          <w:szCs w:val="28"/>
        </w:rPr>
        <w:t>26.09%</w:t>
      </w:r>
      <w:r>
        <w:rPr>
          <w:rFonts w:ascii="Source Sans Pro" w:eastAsia="標楷體" w:hAnsi="Source Sans Pro" w:hint="eastAsia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聯邦金鑽平衡（</w:t>
      </w:r>
      <w:r>
        <w:rPr>
          <w:rFonts w:ascii="Source Sans Pro" w:eastAsia="標楷體" w:hAnsi="Source Sans Pro" w:hint="eastAsia"/>
          <w:sz w:val="28"/>
          <w:szCs w:val="28"/>
        </w:rPr>
        <w:t>25.69%</w:t>
      </w:r>
      <w:r>
        <w:rPr>
          <w:rFonts w:ascii="Source Sans Pro" w:eastAsia="標楷體" w:hAnsi="Source Sans Pro" w:hint="eastAsia"/>
          <w:sz w:val="28"/>
          <w:szCs w:val="28"/>
        </w:rPr>
        <w:t>）報酬率超越台股基金平均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跨國投資平衡型以新興市場平衡型（</w:t>
      </w:r>
      <w:r>
        <w:rPr>
          <w:rFonts w:ascii="Source Sans Pro" w:eastAsia="標楷體" w:hAnsi="Source Sans Pro" w:hint="eastAsia"/>
          <w:sz w:val="28"/>
          <w:szCs w:val="28"/>
        </w:rPr>
        <w:t>7.00%</w:t>
      </w:r>
      <w:r>
        <w:rPr>
          <w:rFonts w:ascii="Source Sans Pro" w:eastAsia="標楷體" w:hAnsi="Source Sans Pro" w:hint="eastAsia"/>
          <w:sz w:val="28"/>
          <w:szCs w:val="28"/>
        </w:rPr>
        <w:t>）較佳，全球平衡型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3.53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1.93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 w:rsidRPr="009F6539">
        <w:rPr>
          <w:rFonts w:ascii="Source Sans Pro" w:eastAsia="標楷體" w:hAnsi="Source Sans Pro" w:hint="eastAsia"/>
          <w:sz w:val="28"/>
          <w:szCs w:val="28"/>
        </w:rPr>
        <w:t>、</w:t>
      </w:r>
      <w:r>
        <w:rPr>
          <w:rFonts w:ascii="Source Sans Pro" w:eastAsia="標楷體" w:hAnsi="Source Sans Pro" w:hint="eastAsia"/>
          <w:sz w:val="28"/>
          <w:szCs w:val="28"/>
        </w:rPr>
        <w:t>亞洲平衡型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3.67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2.81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皆不出色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多重資產型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5.03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3.97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表現差強人意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組合型基金以一般股票組合型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>
        <w:rPr>
          <w:rFonts w:ascii="Source Sans Pro" w:eastAsia="標楷體" w:hAnsi="Source Sans Pro" w:hint="eastAsia"/>
          <w:sz w:val="28"/>
          <w:szCs w:val="28"/>
        </w:rPr>
        <w:t>9.52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7.98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較為亮眼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  <w:r>
        <w:rPr>
          <w:rFonts w:ascii="Source Sans Pro" w:eastAsia="標楷體" w:hAnsi="Source Sans Pro" w:hint="eastAsia"/>
          <w:sz w:val="28"/>
          <w:szCs w:val="28"/>
        </w:rPr>
        <w:t>不動產證券化基金</w:t>
      </w:r>
      <w:r w:rsidRPr="00C339DF">
        <w:rPr>
          <w:rFonts w:ascii="Source Sans Pro" w:eastAsia="標楷體" w:hAnsi="Source Sans Pro"/>
          <w:sz w:val="28"/>
          <w:szCs w:val="28"/>
        </w:rPr>
        <w:t>（全部幣別</w:t>
      </w:r>
      <w:r w:rsidR="00EA16F4">
        <w:rPr>
          <w:rFonts w:ascii="Source Sans Pro" w:eastAsia="標楷體" w:hAnsi="Source Sans Pro" w:hint="eastAsia"/>
          <w:sz w:val="28"/>
          <w:szCs w:val="28"/>
        </w:rPr>
        <w:t>8</w:t>
      </w:r>
      <w:r>
        <w:rPr>
          <w:rFonts w:ascii="Source Sans Pro" w:eastAsia="標楷體" w:hAnsi="Source Sans Pro" w:hint="eastAsia"/>
          <w:sz w:val="28"/>
          <w:szCs w:val="28"/>
        </w:rPr>
        <w:t>.</w:t>
      </w:r>
      <w:r w:rsidR="00EA16F4">
        <w:rPr>
          <w:rFonts w:ascii="Source Sans Pro" w:eastAsia="標楷體" w:hAnsi="Source Sans Pro" w:hint="eastAsia"/>
          <w:sz w:val="28"/>
          <w:szCs w:val="28"/>
        </w:rPr>
        <w:t>91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，台幣</w:t>
      </w:r>
      <w:r>
        <w:rPr>
          <w:rFonts w:ascii="Source Sans Pro" w:eastAsia="標楷體" w:hAnsi="Source Sans Pro" w:hint="eastAsia"/>
          <w:sz w:val="28"/>
          <w:szCs w:val="28"/>
        </w:rPr>
        <w:t>7.</w:t>
      </w:r>
      <w:r w:rsidR="00EA16F4">
        <w:rPr>
          <w:rFonts w:ascii="Source Sans Pro" w:eastAsia="標楷體" w:hAnsi="Source Sans Pro" w:hint="eastAsia"/>
          <w:sz w:val="28"/>
          <w:szCs w:val="28"/>
        </w:rPr>
        <w:t>58</w:t>
      </w:r>
      <w:r w:rsidRPr="00C339DF">
        <w:rPr>
          <w:rFonts w:ascii="Source Sans Pro" w:eastAsia="標楷體" w:hAnsi="Source Sans Pro"/>
          <w:sz w:val="28"/>
          <w:szCs w:val="28"/>
        </w:rPr>
        <w:t>%</w:t>
      </w:r>
      <w:r w:rsidRPr="00C339DF">
        <w:rPr>
          <w:rFonts w:ascii="Source Sans Pro" w:eastAsia="標楷體" w:hAnsi="Source Sans Pro"/>
          <w:sz w:val="28"/>
          <w:szCs w:val="28"/>
        </w:rPr>
        <w:t>）</w:t>
      </w:r>
      <w:r>
        <w:rPr>
          <w:rFonts w:ascii="Source Sans Pro" w:eastAsia="標楷體" w:hAnsi="Source Sans Pro" w:hint="eastAsia"/>
          <w:sz w:val="28"/>
          <w:szCs w:val="28"/>
        </w:rPr>
        <w:t>受惠於全球商用不動產市場復甦，第一名台新北美收益資產證券化基金</w:t>
      </w:r>
      <w:r w:rsidR="00EA16F4">
        <w:rPr>
          <w:rFonts w:ascii="Source Sans Pro" w:eastAsia="標楷體" w:hAnsi="Source Sans Pro" w:hint="eastAsia"/>
          <w:sz w:val="28"/>
          <w:szCs w:val="28"/>
        </w:rPr>
        <w:t>（法人累積型－美元）</w:t>
      </w:r>
      <w:r>
        <w:rPr>
          <w:rFonts w:ascii="Source Sans Pro" w:eastAsia="標楷體" w:hAnsi="Source Sans Pro" w:hint="eastAsia"/>
          <w:sz w:val="28"/>
          <w:szCs w:val="28"/>
        </w:rPr>
        <w:t>報酬率達</w:t>
      </w:r>
      <w:r>
        <w:rPr>
          <w:rFonts w:ascii="Source Sans Pro" w:eastAsia="標楷體" w:hAnsi="Source Sans Pro" w:hint="eastAsia"/>
          <w:sz w:val="28"/>
          <w:szCs w:val="28"/>
        </w:rPr>
        <w:t>18.59%</w:t>
      </w:r>
      <w:r w:rsidRPr="00C339DF">
        <w:rPr>
          <w:rFonts w:ascii="Source Sans Pro" w:eastAsia="標楷體" w:hAnsi="Source Sans Pro"/>
          <w:sz w:val="28"/>
          <w:szCs w:val="28"/>
        </w:rPr>
        <w:t>。</w:t>
      </w:r>
    </w:p>
    <w:p w14:paraId="65A3B997" w14:textId="638E0682" w:rsidR="003E1BB9" w:rsidRPr="00C339DF" w:rsidRDefault="003E1BB9" w:rsidP="00731E8B">
      <w:pPr>
        <w:spacing w:beforeLines="50" w:before="180" w:afterLines="50" w:after="180"/>
        <w:rPr>
          <w:rFonts w:ascii="Source Sans Pro" w:eastAsia="標楷體" w:hAnsi="Source Sans Pro"/>
          <w:sz w:val="28"/>
          <w:szCs w:val="28"/>
        </w:rPr>
      </w:pPr>
    </w:p>
    <w:sectPr w:rsidR="003E1BB9" w:rsidRPr="00C33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D7652" w14:textId="77777777" w:rsidR="00F3237E" w:rsidRDefault="00F3237E" w:rsidP="002C75AE">
      <w:r>
        <w:separator/>
      </w:r>
    </w:p>
  </w:endnote>
  <w:endnote w:type="continuationSeparator" w:id="0">
    <w:p w14:paraId="2C205170" w14:textId="77777777" w:rsidR="00F3237E" w:rsidRDefault="00F3237E" w:rsidP="002C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9667" w14:textId="77777777" w:rsidR="00F3237E" w:rsidRDefault="00F3237E" w:rsidP="002C75AE">
      <w:r>
        <w:separator/>
      </w:r>
    </w:p>
  </w:footnote>
  <w:footnote w:type="continuationSeparator" w:id="0">
    <w:p w14:paraId="0E2ABB2A" w14:textId="77777777" w:rsidR="00F3237E" w:rsidRDefault="00F3237E" w:rsidP="002C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88"/>
    <w:rsid w:val="000002D8"/>
    <w:rsid w:val="00012EDE"/>
    <w:rsid w:val="000131B4"/>
    <w:rsid w:val="00020FB1"/>
    <w:rsid w:val="00022B4B"/>
    <w:rsid w:val="00024CEF"/>
    <w:rsid w:val="00030C9D"/>
    <w:rsid w:val="00032AB9"/>
    <w:rsid w:val="0004213E"/>
    <w:rsid w:val="00045DE6"/>
    <w:rsid w:val="00047145"/>
    <w:rsid w:val="00047749"/>
    <w:rsid w:val="000518D7"/>
    <w:rsid w:val="00052262"/>
    <w:rsid w:val="00060310"/>
    <w:rsid w:val="00060A5E"/>
    <w:rsid w:val="0006249C"/>
    <w:rsid w:val="00063187"/>
    <w:rsid w:val="00064E97"/>
    <w:rsid w:val="00065878"/>
    <w:rsid w:val="00067303"/>
    <w:rsid w:val="0007188F"/>
    <w:rsid w:val="00073B8E"/>
    <w:rsid w:val="000772D5"/>
    <w:rsid w:val="00085FAE"/>
    <w:rsid w:val="00090723"/>
    <w:rsid w:val="00091D1C"/>
    <w:rsid w:val="00095603"/>
    <w:rsid w:val="000A0C02"/>
    <w:rsid w:val="000B021D"/>
    <w:rsid w:val="000C07CC"/>
    <w:rsid w:val="000D16B7"/>
    <w:rsid w:val="000D2A6E"/>
    <w:rsid w:val="000D497D"/>
    <w:rsid w:val="000D70E8"/>
    <w:rsid w:val="000F1856"/>
    <w:rsid w:val="000F251C"/>
    <w:rsid w:val="000F604F"/>
    <w:rsid w:val="00100DDC"/>
    <w:rsid w:val="001047CF"/>
    <w:rsid w:val="001063F4"/>
    <w:rsid w:val="001105DC"/>
    <w:rsid w:val="00113A68"/>
    <w:rsid w:val="00114F7D"/>
    <w:rsid w:val="00116B9E"/>
    <w:rsid w:val="00117588"/>
    <w:rsid w:val="00121A2D"/>
    <w:rsid w:val="001251A4"/>
    <w:rsid w:val="001352EA"/>
    <w:rsid w:val="00136A41"/>
    <w:rsid w:val="001377BD"/>
    <w:rsid w:val="001460DD"/>
    <w:rsid w:val="001522C4"/>
    <w:rsid w:val="00153C48"/>
    <w:rsid w:val="00155111"/>
    <w:rsid w:val="0017261F"/>
    <w:rsid w:val="00172C8F"/>
    <w:rsid w:val="00172FA0"/>
    <w:rsid w:val="00173B72"/>
    <w:rsid w:val="001809B2"/>
    <w:rsid w:val="00184C4F"/>
    <w:rsid w:val="00191551"/>
    <w:rsid w:val="001927D3"/>
    <w:rsid w:val="001946C4"/>
    <w:rsid w:val="001A2990"/>
    <w:rsid w:val="001A3AB0"/>
    <w:rsid w:val="001A5C22"/>
    <w:rsid w:val="001C14AA"/>
    <w:rsid w:val="001C7946"/>
    <w:rsid w:val="001D2176"/>
    <w:rsid w:val="001D2536"/>
    <w:rsid w:val="001D42CE"/>
    <w:rsid w:val="001E2727"/>
    <w:rsid w:val="001E41DC"/>
    <w:rsid w:val="001F1CCC"/>
    <w:rsid w:val="001F75D8"/>
    <w:rsid w:val="002003E8"/>
    <w:rsid w:val="0020528D"/>
    <w:rsid w:val="00211D4A"/>
    <w:rsid w:val="00214BFD"/>
    <w:rsid w:val="00216F45"/>
    <w:rsid w:val="002220DB"/>
    <w:rsid w:val="00225328"/>
    <w:rsid w:val="00226522"/>
    <w:rsid w:val="00227E3F"/>
    <w:rsid w:val="002433C4"/>
    <w:rsid w:val="002518C7"/>
    <w:rsid w:val="00254665"/>
    <w:rsid w:val="00260ACD"/>
    <w:rsid w:val="00272158"/>
    <w:rsid w:val="0027353E"/>
    <w:rsid w:val="00274B00"/>
    <w:rsid w:val="002773BF"/>
    <w:rsid w:val="0028311F"/>
    <w:rsid w:val="00291A01"/>
    <w:rsid w:val="00291A8D"/>
    <w:rsid w:val="00292611"/>
    <w:rsid w:val="00294B29"/>
    <w:rsid w:val="002A2B43"/>
    <w:rsid w:val="002A43D3"/>
    <w:rsid w:val="002B148C"/>
    <w:rsid w:val="002C21FE"/>
    <w:rsid w:val="002C4A4D"/>
    <w:rsid w:val="002C5ECE"/>
    <w:rsid w:val="002C75AE"/>
    <w:rsid w:val="002D1981"/>
    <w:rsid w:val="002D4549"/>
    <w:rsid w:val="002D6CE6"/>
    <w:rsid w:val="002D7700"/>
    <w:rsid w:val="002E116E"/>
    <w:rsid w:val="002E5D07"/>
    <w:rsid w:val="002E6497"/>
    <w:rsid w:val="00300386"/>
    <w:rsid w:val="00302838"/>
    <w:rsid w:val="003029E1"/>
    <w:rsid w:val="0031085F"/>
    <w:rsid w:val="00316FF4"/>
    <w:rsid w:val="003171D9"/>
    <w:rsid w:val="0033635B"/>
    <w:rsid w:val="0034152C"/>
    <w:rsid w:val="00350ED4"/>
    <w:rsid w:val="00351846"/>
    <w:rsid w:val="003607FE"/>
    <w:rsid w:val="00363C66"/>
    <w:rsid w:val="003656C4"/>
    <w:rsid w:val="0037174D"/>
    <w:rsid w:val="00380F91"/>
    <w:rsid w:val="00383448"/>
    <w:rsid w:val="003852DE"/>
    <w:rsid w:val="00386E8F"/>
    <w:rsid w:val="00393514"/>
    <w:rsid w:val="003A0151"/>
    <w:rsid w:val="003B07AF"/>
    <w:rsid w:val="003B1616"/>
    <w:rsid w:val="003C1261"/>
    <w:rsid w:val="003C439B"/>
    <w:rsid w:val="003C550A"/>
    <w:rsid w:val="003D06B0"/>
    <w:rsid w:val="003D2157"/>
    <w:rsid w:val="003D3AF9"/>
    <w:rsid w:val="003E0800"/>
    <w:rsid w:val="003E1BB9"/>
    <w:rsid w:val="003E3E47"/>
    <w:rsid w:val="00405B20"/>
    <w:rsid w:val="00411533"/>
    <w:rsid w:val="00427567"/>
    <w:rsid w:val="00430AEA"/>
    <w:rsid w:val="00430F98"/>
    <w:rsid w:val="00434B11"/>
    <w:rsid w:val="00437196"/>
    <w:rsid w:val="00454E66"/>
    <w:rsid w:val="00456B07"/>
    <w:rsid w:val="004616E1"/>
    <w:rsid w:val="00464ECA"/>
    <w:rsid w:val="00470726"/>
    <w:rsid w:val="00470C8F"/>
    <w:rsid w:val="00485194"/>
    <w:rsid w:val="00497580"/>
    <w:rsid w:val="004A0B6F"/>
    <w:rsid w:val="004B3B04"/>
    <w:rsid w:val="004C41D1"/>
    <w:rsid w:val="004C497F"/>
    <w:rsid w:val="004D640F"/>
    <w:rsid w:val="004E7C9F"/>
    <w:rsid w:val="004F1154"/>
    <w:rsid w:val="00500386"/>
    <w:rsid w:val="00504EFF"/>
    <w:rsid w:val="0051730B"/>
    <w:rsid w:val="00525A02"/>
    <w:rsid w:val="00527902"/>
    <w:rsid w:val="00530C7B"/>
    <w:rsid w:val="00532AF4"/>
    <w:rsid w:val="0054378F"/>
    <w:rsid w:val="00544D91"/>
    <w:rsid w:val="00545C00"/>
    <w:rsid w:val="005461BC"/>
    <w:rsid w:val="005540C3"/>
    <w:rsid w:val="00556262"/>
    <w:rsid w:val="00556BD5"/>
    <w:rsid w:val="00562B2F"/>
    <w:rsid w:val="00563AF4"/>
    <w:rsid w:val="00572CE1"/>
    <w:rsid w:val="005751E3"/>
    <w:rsid w:val="00575C77"/>
    <w:rsid w:val="0057702E"/>
    <w:rsid w:val="0058286A"/>
    <w:rsid w:val="00582DDF"/>
    <w:rsid w:val="00586380"/>
    <w:rsid w:val="0058758B"/>
    <w:rsid w:val="00596A8A"/>
    <w:rsid w:val="005A1740"/>
    <w:rsid w:val="005A7CF5"/>
    <w:rsid w:val="005C7702"/>
    <w:rsid w:val="005D4445"/>
    <w:rsid w:val="005E265E"/>
    <w:rsid w:val="005E78DE"/>
    <w:rsid w:val="005F508E"/>
    <w:rsid w:val="005F55FE"/>
    <w:rsid w:val="005F621C"/>
    <w:rsid w:val="00601399"/>
    <w:rsid w:val="00602B2D"/>
    <w:rsid w:val="00603590"/>
    <w:rsid w:val="006119ED"/>
    <w:rsid w:val="00620372"/>
    <w:rsid w:val="00621F5D"/>
    <w:rsid w:val="006273F5"/>
    <w:rsid w:val="00627F43"/>
    <w:rsid w:val="00634665"/>
    <w:rsid w:val="00643ACE"/>
    <w:rsid w:val="0065586C"/>
    <w:rsid w:val="00660C78"/>
    <w:rsid w:val="00662064"/>
    <w:rsid w:val="00666F90"/>
    <w:rsid w:val="006824F3"/>
    <w:rsid w:val="006827BA"/>
    <w:rsid w:val="00693AFA"/>
    <w:rsid w:val="00694257"/>
    <w:rsid w:val="00694A91"/>
    <w:rsid w:val="006A3FC8"/>
    <w:rsid w:val="006B039F"/>
    <w:rsid w:val="006B1FFD"/>
    <w:rsid w:val="006B3F79"/>
    <w:rsid w:val="006B4F9E"/>
    <w:rsid w:val="006C2A46"/>
    <w:rsid w:val="006D1CD8"/>
    <w:rsid w:val="006D493A"/>
    <w:rsid w:val="006D60CC"/>
    <w:rsid w:val="006E073A"/>
    <w:rsid w:val="006E226A"/>
    <w:rsid w:val="006E5AC6"/>
    <w:rsid w:val="006E7470"/>
    <w:rsid w:val="006F1A1E"/>
    <w:rsid w:val="006F751B"/>
    <w:rsid w:val="00700829"/>
    <w:rsid w:val="007072F0"/>
    <w:rsid w:val="007164D6"/>
    <w:rsid w:val="007173A9"/>
    <w:rsid w:val="00720A28"/>
    <w:rsid w:val="00731E8B"/>
    <w:rsid w:val="00735B52"/>
    <w:rsid w:val="00736B3F"/>
    <w:rsid w:val="007432F2"/>
    <w:rsid w:val="007465C5"/>
    <w:rsid w:val="007644CB"/>
    <w:rsid w:val="00765EE4"/>
    <w:rsid w:val="00765F24"/>
    <w:rsid w:val="007745AA"/>
    <w:rsid w:val="00775A87"/>
    <w:rsid w:val="0078375B"/>
    <w:rsid w:val="0078377F"/>
    <w:rsid w:val="00794FCC"/>
    <w:rsid w:val="00796E39"/>
    <w:rsid w:val="007A5132"/>
    <w:rsid w:val="007A61FC"/>
    <w:rsid w:val="007B2851"/>
    <w:rsid w:val="007B2C7D"/>
    <w:rsid w:val="007B3160"/>
    <w:rsid w:val="007B360C"/>
    <w:rsid w:val="007C2806"/>
    <w:rsid w:val="007D53D5"/>
    <w:rsid w:val="007D6571"/>
    <w:rsid w:val="007D6F16"/>
    <w:rsid w:val="007E5AA3"/>
    <w:rsid w:val="007E67CC"/>
    <w:rsid w:val="00802193"/>
    <w:rsid w:val="008160FE"/>
    <w:rsid w:val="00817D16"/>
    <w:rsid w:val="00820B1B"/>
    <w:rsid w:val="00823DF3"/>
    <w:rsid w:val="00827BB6"/>
    <w:rsid w:val="00833591"/>
    <w:rsid w:val="0083489D"/>
    <w:rsid w:val="00843D17"/>
    <w:rsid w:val="00844F74"/>
    <w:rsid w:val="00845D5C"/>
    <w:rsid w:val="0086012B"/>
    <w:rsid w:val="00863368"/>
    <w:rsid w:val="0086749A"/>
    <w:rsid w:val="008732FA"/>
    <w:rsid w:val="00876201"/>
    <w:rsid w:val="00881918"/>
    <w:rsid w:val="008A142F"/>
    <w:rsid w:val="008A286C"/>
    <w:rsid w:val="008A7B08"/>
    <w:rsid w:val="008B0FB1"/>
    <w:rsid w:val="008B27F8"/>
    <w:rsid w:val="008B4925"/>
    <w:rsid w:val="008B60F2"/>
    <w:rsid w:val="008C2451"/>
    <w:rsid w:val="008C60EE"/>
    <w:rsid w:val="008D0E29"/>
    <w:rsid w:val="008D1AF3"/>
    <w:rsid w:val="008D2690"/>
    <w:rsid w:val="008D2738"/>
    <w:rsid w:val="008D6350"/>
    <w:rsid w:val="008E06B5"/>
    <w:rsid w:val="008E4E0A"/>
    <w:rsid w:val="008F1245"/>
    <w:rsid w:val="008F2018"/>
    <w:rsid w:val="008F2856"/>
    <w:rsid w:val="008F7A12"/>
    <w:rsid w:val="008F7B8B"/>
    <w:rsid w:val="0090494C"/>
    <w:rsid w:val="00907672"/>
    <w:rsid w:val="009076AF"/>
    <w:rsid w:val="00911A56"/>
    <w:rsid w:val="00916970"/>
    <w:rsid w:val="0092299F"/>
    <w:rsid w:val="00926B78"/>
    <w:rsid w:val="00930913"/>
    <w:rsid w:val="00930925"/>
    <w:rsid w:val="0093117F"/>
    <w:rsid w:val="009415D4"/>
    <w:rsid w:val="00943CBD"/>
    <w:rsid w:val="00947C14"/>
    <w:rsid w:val="009521CD"/>
    <w:rsid w:val="00953D81"/>
    <w:rsid w:val="00954B79"/>
    <w:rsid w:val="009576A5"/>
    <w:rsid w:val="0096357A"/>
    <w:rsid w:val="0096403B"/>
    <w:rsid w:val="00964069"/>
    <w:rsid w:val="00970E48"/>
    <w:rsid w:val="0097205A"/>
    <w:rsid w:val="00974690"/>
    <w:rsid w:val="009864A3"/>
    <w:rsid w:val="00986AD3"/>
    <w:rsid w:val="00991F26"/>
    <w:rsid w:val="00993B5D"/>
    <w:rsid w:val="00995547"/>
    <w:rsid w:val="00996EFD"/>
    <w:rsid w:val="009976AB"/>
    <w:rsid w:val="009A22FF"/>
    <w:rsid w:val="009A249D"/>
    <w:rsid w:val="009A2A30"/>
    <w:rsid w:val="009A394F"/>
    <w:rsid w:val="009A39C7"/>
    <w:rsid w:val="009B6B82"/>
    <w:rsid w:val="009C3396"/>
    <w:rsid w:val="009D1DE5"/>
    <w:rsid w:val="009D4AE1"/>
    <w:rsid w:val="009D58B8"/>
    <w:rsid w:val="009E3323"/>
    <w:rsid w:val="009E4D17"/>
    <w:rsid w:val="009E58A9"/>
    <w:rsid w:val="009F6539"/>
    <w:rsid w:val="00A01941"/>
    <w:rsid w:val="00A04978"/>
    <w:rsid w:val="00A129D8"/>
    <w:rsid w:val="00A22E8F"/>
    <w:rsid w:val="00A2532D"/>
    <w:rsid w:val="00A26933"/>
    <w:rsid w:val="00A309AC"/>
    <w:rsid w:val="00A30D90"/>
    <w:rsid w:val="00A358BB"/>
    <w:rsid w:val="00A4198D"/>
    <w:rsid w:val="00A42953"/>
    <w:rsid w:val="00A502FF"/>
    <w:rsid w:val="00A53564"/>
    <w:rsid w:val="00A55812"/>
    <w:rsid w:val="00A6049D"/>
    <w:rsid w:val="00A650AD"/>
    <w:rsid w:val="00A65F41"/>
    <w:rsid w:val="00A664E3"/>
    <w:rsid w:val="00A73E00"/>
    <w:rsid w:val="00A80DD1"/>
    <w:rsid w:val="00A81CB7"/>
    <w:rsid w:val="00A82B79"/>
    <w:rsid w:val="00A86267"/>
    <w:rsid w:val="00A90BF7"/>
    <w:rsid w:val="00A959C6"/>
    <w:rsid w:val="00A960FC"/>
    <w:rsid w:val="00A97191"/>
    <w:rsid w:val="00AA2981"/>
    <w:rsid w:val="00AB088D"/>
    <w:rsid w:val="00AB2292"/>
    <w:rsid w:val="00AB2721"/>
    <w:rsid w:val="00AB5195"/>
    <w:rsid w:val="00AC028E"/>
    <w:rsid w:val="00AC137B"/>
    <w:rsid w:val="00AC1EB1"/>
    <w:rsid w:val="00AC5192"/>
    <w:rsid w:val="00AE2F7B"/>
    <w:rsid w:val="00AF00A6"/>
    <w:rsid w:val="00AF5325"/>
    <w:rsid w:val="00B0571B"/>
    <w:rsid w:val="00B14E21"/>
    <w:rsid w:val="00B15783"/>
    <w:rsid w:val="00B16F51"/>
    <w:rsid w:val="00B40C06"/>
    <w:rsid w:val="00B42C35"/>
    <w:rsid w:val="00B43A42"/>
    <w:rsid w:val="00B43FC7"/>
    <w:rsid w:val="00B46ADC"/>
    <w:rsid w:val="00B551F3"/>
    <w:rsid w:val="00B56ABA"/>
    <w:rsid w:val="00B60E0C"/>
    <w:rsid w:val="00B6561D"/>
    <w:rsid w:val="00B65DEB"/>
    <w:rsid w:val="00B66C8C"/>
    <w:rsid w:val="00B727AF"/>
    <w:rsid w:val="00B734C0"/>
    <w:rsid w:val="00B74A0A"/>
    <w:rsid w:val="00BA114F"/>
    <w:rsid w:val="00BA2690"/>
    <w:rsid w:val="00BA68DA"/>
    <w:rsid w:val="00BA782C"/>
    <w:rsid w:val="00BB31BE"/>
    <w:rsid w:val="00BB4A24"/>
    <w:rsid w:val="00BB6284"/>
    <w:rsid w:val="00BB68BA"/>
    <w:rsid w:val="00BC4C0A"/>
    <w:rsid w:val="00BD2A93"/>
    <w:rsid w:val="00BE6ECE"/>
    <w:rsid w:val="00BF35AF"/>
    <w:rsid w:val="00BF7581"/>
    <w:rsid w:val="00C00576"/>
    <w:rsid w:val="00C009E7"/>
    <w:rsid w:val="00C11F15"/>
    <w:rsid w:val="00C17678"/>
    <w:rsid w:val="00C22A98"/>
    <w:rsid w:val="00C23DFF"/>
    <w:rsid w:val="00C25974"/>
    <w:rsid w:val="00C27BF8"/>
    <w:rsid w:val="00C339DF"/>
    <w:rsid w:val="00C345D8"/>
    <w:rsid w:val="00C359A2"/>
    <w:rsid w:val="00C41FAF"/>
    <w:rsid w:val="00C43FB2"/>
    <w:rsid w:val="00C55339"/>
    <w:rsid w:val="00C56ED3"/>
    <w:rsid w:val="00C671A1"/>
    <w:rsid w:val="00C672B6"/>
    <w:rsid w:val="00C77DDD"/>
    <w:rsid w:val="00C827E5"/>
    <w:rsid w:val="00C8744C"/>
    <w:rsid w:val="00C91813"/>
    <w:rsid w:val="00C921FC"/>
    <w:rsid w:val="00C94B71"/>
    <w:rsid w:val="00CA0F2B"/>
    <w:rsid w:val="00CA48FB"/>
    <w:rsid w:val="00CA4DE8"/>
    <w:rsid w:val="00CA6784"/>
    <w:rsid w:val="00CB52F4"/>
    <w:rsid w:val="00CC14C5"/>
    <w:rsid w:val="00CF49E6"/>
    <w:rsid w:val="00D05280"/>
    <w:rsid w:val="00D059C5"/>
    <w:rsid w:val="00D12608"/>
    <w:rsid w:val="00D16195"/>
    <w:rsid w:val="00D17785"/>
    <w:rsid w:val="00D22064"/>
    <w:rsid w:val="00D31F7F"/>
    <w:rsid w:val="00D322CB"/>
    <w:rsid w:val="00D43906"/>
    <w:rsid w:val="00D510B9"/>
    <w:rsid w:val="00D536A6"/>
    <w:rsid w:val="00D53F9D"/>
    <w:rsid w:val="00D62E07"/>
    <w:rsid w:val="00D648B3"/>
    <w:rsid w:val="00D67538"/>
    <w:rsid w:val="00D703AD"/>
    <w:rsid w:val="00D70918"/>
    <w:rsid w:val="00DA280E"/>
    <w:rsid w:val="00DA2D5D"/>
    <w:rsid w:val="00DA4DF4"/>
    <w:rsid w:val="00DA7822"/>
    <w:rsid w:val="00DB2E93"/>
    <w:rsid w:val="00DB3BF6"/>
    <w:rsid w:val="00DC12BA"/>
    <w:rsid w:val="00DC7141"/>
    <w:rsid w:val="00DD09E4"/>
    <w:rsid w:val="00DD2EBA"/>
    <w:rsid w:val="00DE5AF9"/>
    <w:rsid w:val="00DE6B19"/>
    <w:rsid w:val="00DF1523"/>
    <w:rsid w:val="00DF6307"/>
    <w:rsid w:val="00DF7AC9"/>
    <w:rsid w:val="00E1024E"/>
    <w:rsid w:val="00E1226D"/>
    <w:rsid w:val="00E129D4"/>
    <w:rsid w:val="00E1383F"/>
    <w:rsid w:val="00E34749"/>
    <w:rsid w:val="00E4290D"/>
    <w:rsid w:val="00E45BD2"/>
    <w:rsid w:val="00E473F7"/>
    <w:rsid w:val="00E47564"/>
    <w:rsid w:val="00E502CB"/>
    <w:rsid w:val="00E52EBD"/>
    <w:rsid w:val="00E54BFE"/>
    <w:rsid w:val="00E55190"/>
    <w:rsid w:val="00E60AC1"/>
    <w:rsid w:val="00E61039"/>
    <w:rsid w:val="00E72B54"/>
    <w:rsid w:val="00E75617"/>
    <w:rsid w:val="00E7780A"/>
    <w:rsid w:val="00E81F46"/>
    <w:rsid w:val="00E81FD3"/>
    <w:rsid w:val="00E869CA"/>
    <w:rsid w:val="00E87FB4"/>
    <w:rsid w:val="00E87FD8"/>
    <w:rsid w:val="00EA16F4"/>
    <w:rsid w:val="00EA2296"/>
    <w:rsid w:val="00EB3720"/>
    <w:rsid w:val="00EC5641"/>
    <w:rsid w:val="00EC63D0"/>
    <w:rsid w:val="00ED2D28"/>
    <w:rsid w:val="00EE1055"/>
    <w:rsid w:val="00EE46AE"/>
    <w:rsid w:val="00EF7FAD"/>
    <w:rsid w:val="00F07D33"/>
    <w:rsid w:val="00F14588"/>
    <w:rsid w:val="00F257BA"/>
    <w:rsid w:val="00F25E7C"/>
    <w:rsid w:val="00F3237E"/>
    <w:rsid w:val="00F325F8"/>
    <w:rsid w:val="00F35ADF"/>
    <w:rsid w:val="00F371CA"/>
    <w:rsid w:val="00F4660F"/>
    <w:rsid w:val="00F67451"/>
    <w:rsid w:val="00F71B5C"/>
    <w:rsid w:val="00F741B5"/>
    <w:rsid w:val="00F75299"/>
    <w:rsid w:val="00F75FF7"/>
    <w:rsid w:val="00F923B8"/>
    <w:rsid w:val="00F93D58"/>
    <w:rsid w:val="00FA1FAB"/>
    <w:rsid w:val="00FC078A"/>
    <w:rsid w:val="00FC1979"/>
    <w:rsid w:val="00FD029B"/>
    <w:rsid w:val="00FD0729"/>
    <w:rsid w:val="00FD15DB"/>
    <w:rsid w:val="00FD166C"/>
    <w:rsid w:val="00FD3290"/>
    <w:rsid w:val="00FD78B0"/>
    <w:rsid w:val="00FE151B"/>
    <w:rsid w:val="00FE2D83"/>
    <w:rsid w:val="00FE51A5"/>
    <w:rsid w:val="00FF436F"/>
    <w:rsid w:val="00FF585A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CFE2E"/>
  <w15:docId w15:val="{16B9F670-0478-426B-BE8F-1C65899B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75AE"/>
    <w:rPr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75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75AE"/>
    <w:rPr>
      <w:noProof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35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59A2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邱顯比</cp:lastModifiedBy>
  <cp:revision>16</cp:revision>
  <cp:lastPrinted>2021-07-06T05:34:00Z</cp:lastPrinted>
  <dcterms:created xsi:type="dcterms:W3CDTF">2021-05-14T03:54:00Z</dcterms:created>
  <dcterms:modified xsi:type="dcterms:W3CDTF">2021-07-07T08:26:00Z</dcterms:modified>
</cp:coreProperties>
</file>