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2E432" w14:textId="739191DA" w:rsidR="00060A5E" w:rsidRPr="00C339DF" w:rsidRDefault="0036136C" w:rsidP="00117588">
      <w:pPr>
        <w:jc w:val="center"/>
        <w:rPr>
          <w:rFonts w:ascii="Source Sans Pro" w:eastAsia="標楷體" w:hAnsi="Source Sans Pro"/>
          <w:b/>
          <w:sz w:val="32"/>
          <w:szCs w:val="32"/>
        </w:rPr>
      </w:pPr>
      <w:r>
        <w:rPr>
          <w:rFonts w:ascii="Source Sans Pro" w:eastAsia="標楷體" w:hAnsi="Source Sans Pro" w:hint="eastAsia"/>
          <w:b/>
          <w:sz w:val="32"/>
          <w:szCs w:val="32"/>
        </w:rPr>
        <w:t>2021</w:t>
      </w:r>
      <w:r>
        <w:rPr>
          <w:rFonts w:ascii="Source Sans Pro" w:eastAsia="標楷體" w:hAnsi="Source Sans Pro" w:hint="eastAsia"/>
          <w:b/>
          <w:sz w:val="32"/>
          <w:szCs w:val="32"/>
        </w:rPr>
        <w:t>年台</w:t>
      </w:r>
      <w:r w:rsidR="0054216A">
        <w:rPr>
          <w:rFonts w:ascii="Source Sans Pro" w:eastAsia="標楷體" w:hAnsi="Source Sans Pro" w:hint="eastAsia"/>
          <w:b/>
          <w:sz w:val="32"/>
          <w:szCs w:val="32"/>
        </w:rPr>
        <w:t>股</w:t>
      </w:r>
      <w:r>
        <w:rPr>
          <w:rFonts w:ascii="Source Sans Pro" w:eastAsia="標楷體" w:hAnsi="Source Sans Pro" w:hint="eastAsia"/>
          <w:b/>
          <w:sz w:val="32"/>
          <w:szCs w:val="32"/>
        </w:rPr>
        <w:t>強　台股基金更強</w:t>
      </w:r>
    </w:p>
    <w:p w14:paraId="61E93B83" w14:textId="77777777" w:rsidR="00117588" w:rsidRPr="00C339DF" w:rsidRDefault="00117588" w:rsidP="00117588">
      <w:pPr>
        <w:jc w:val="center"/>
        <w:rPr>
          <w:rFonts w:ascii="Source Sans Pro" w:eastAsia="標楷體" w:hAnsi="Source Sans Pro"/>
          <w:b/>
          <w:sz w:val="32"/>
          <w:szCs w:val="32"/>
        </w:rPr>
      </w:pPr>
      <w:r w:rsidRPr="00C339DF">
        <w:rPr>
          <w:rFonts w:ascii="Source Sans Pro" w:eastAsia="標楷體" w:hAnsi="Source Sans Pro"/>
          <w:b/>
          <w:sz w:val="32"/>
          <w:szCs w:val="32"/>
        </w:rPr>
        <w:t>邱顯比</w:t>
      </w:r>
      <w:r w:rsidRPr="00C339DF">
        <w:rPr>
          <w:rFonts w:ascii="Source Sans Pro" w:eastAsia="標楷體" w:hAnsi="Source Sans Pro"/>
          <w:b/>
          <w:sz w:val="32"/>
          <w:szCs w:val="32"/>
        </w:rPr>
        <w:t xml:space="preserve"> </w:t>
      </w:r>
      <w:r w:rsidRPr="00C339DF">
        <w:rPr>
          <w:rFonts w:ascii="Source Sans Pro" w:eastAsia="標楷體" w:hAnsi="Source Sans Pro"/>
          <w:b/>
          <w:sz w:val="32"/>
          <w:szCs w:val="32"/>
        </w:rPr>
        <w:t>李存修</w:t>
      </w:r>
    </w:p>
    <w:p w14:paraId="68D2AB0C" w14:textId="770B80A5" w:rsidR="007440CB" w:rsidRDefault="00090723" w:rsidP="00805E90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 w:rsidRPr="00C339DF">
        <w:rPr>
          <w:rFonts w:ascii="Source Sans Pro" w:eastAsia="標楷體" w:hAnsi="Source Sans Pro"/>
          <w:sz w:val="28"/>
          <w:szCs w:val="28"/>
        </w:rPr>
        <w:t xml:space="preserve">　　</w:t>
      </w:r>
      <w:r w:rsidR="0036136C">
        <w:rPr>
          <w:rFonts w:ascii="Source Sans Pro" w:eastAsia="標楷體" w:hAnsi="Source Sans Pro" w:hint="eastAsia"/>
          <w:sz w:val="28"/>
          <w:szCs w:val="28"/>
        </w:rPr>
        <w:t>2021</w:t>
      </w:r>
      <w:r w:rsidR="0036136C">
        <w:rPr>
          <w:rFonts w:ascii="Source Sans Pro" w:eastAsia="標楷體" w:hAnsi="Source Sans Pro" w:hint="eastAsia"/>
          <w:sz w:val="28"/>
          <w:szCs w:val="28"/>
        </w:rPr>
        <w:t>年世界仍受</w:t>
      </w:r>
      <w:r w:rsidR="0036136C">
        <w:rPr>
          <w:rFonts w:ascii="Source Sans Pro" w:eastAsia="標楷體" w:hAnsi="Source Sans Pro" w:hint="eastAsia"/>
          <w:sz w:val="28"/>
          <w:szCs w:val="28"/>
        </w:rPr>
        <w:t>C</w:t>
      </w:r>
      <w:r w:rsidR="0036136C">
        <w:rPr>
          <w:rFonts w:ascii="Source Sans Pro" w:eastAsia="標楷體" w:hAnsi="Source Sans Pro"/>
          <w:sz w:val="28"/>
          <w:szCs w:val="28"/>
        </w:rPr>
        <w:t>ovid-19</w:t>
      </w:r>
      <w:r w:rsidR="0036136C">
        <w:rPr>
          <w:rFonts w:ascii="Source Sans Pro" w:eastAsia="標楷體" w:hAnsi="Source Sans Pro" w:hint="eastAsia"/>
          <w:sz w:val="28"/>
          <w:szCs w:val="28"/>
        </w:rPr>
        <w:t>重大影響，但相對</w:t>
      </w:r>
      <w:r w:rsidR="0036136C">
        <w:rPr>
          <w:rFonts w:ascii="Source Sans Pro" w:eastAsia="標楷體" w:hAnsi="Source Sans Pro" w:hint="eastAsia"/>
          <w:sz w:val="28"/>
          <w:szCs w:val="28"/>
        </w:rPr>
        <w:t>2020</w:t>
      </w:r>
      <w:r w:rsidR="0036136C">
        <w:rPr>
          <w:rFonts w:ascii="Source Sans Pro" w:eastAsia="標楷體" w:hAnsi="Source Sans Pro" w:hint="eastAsia"/>
          <w:sz w:val="28"/>
          <w:szCs w:val="28"/>
        </w:rPr>
        <w:t>年</w:t>
      </w:r>
      <w:r w:rsidR="00B56C0A">
        <w:rPr>
          <w:rFonts w:ascii="Source Sans Pro" w:eastAsia="標楷體" w:hAnsi="Source Sans Pro" w:hint="eastAsia"/>
          <w:sz w:val="28"/>
          <w:szCs w:val="28"/>
        </w:rPr>
        <w:t>對醫療</w:t>
      </w:r>
      <w:r w:rsidR="00B56C0A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B56C0A">
        <w:rPr>
          <w:rFonts w:ascii="Source Sans Pro" w:eastAsia="標楷體" w:hAnsi="Source Sans Pro" w:hint="eastAsia"/>
          <w:sz w:val="28"/>
          <w:szCs w:val="28"/>
        </w:rPr>
        <w:t>社會</w:t>
      </w:r>
      <w:r w:rsidR="00B56C0A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B56C0A">
        <w:rPr>
          <w:rFonts w:ascii="Source Sans Pro" w:eastAsia="標楷體" w:hAnsi="Source Sans Pro" w:hint="eastAsia"/>
          <w:sz w:val="28"/>
          <w:szCs w:val="28"/>
        </w:rPr>
        <w:t>經濟</w:t>
      </w:r>
      <w:r w:rsidR="00B56C0A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B56C0A">
        <w:rPr>
          <w:rFonts w:ascii="Source Sans Pro" w:eastAsia="標楷體" w:hAnsi="Source Sans Pro" w:hint="eastAsia"/>
          <w:sz w:val="28"/>
          <w:szCs w:val="28"/>
        </w:rPr>
        <w:t>交通的全面重擊，人類在疫苗大量施打下對病毒展開反擊，雖然</w:t>
      </w:r>
      <w:r w:rsidR="00B56C0A">
        <w:rPr>
          <w:rFonts w:ascii="Source Sans Pro" w:eastAsia="標楷體" w:hAnsi="Source Sans Pro" w:hint="eastAsia"/>
          <w:sz w:val="28"/>
          <w:szCs w:val="28"/>
        </w:rPr>
        <w:t>D</w:t>
      </w:r>
      <w:r w:rsidR="00B56C0A">
        <w:rPr>
          <w:rFonts w:ascii="Source Sans Pro" w:eastAsia="標楷體" w:hAnsi="Source Sans Pro"/>
          <w:sz w:val="28"/>
          <w:szCs w:val="28"/>
        </w:rPr>
        <w:t>elta</w:t>
      </w:r>
      <w:r w:rsidR="00B56C0A">
        <w:rPr>
          <w:rFonts w:ascii="Source Sans Pro" w:eastAsia="標楷體" w:hAnsi="Source Sans Pro" w:hint="eastAsia"/>
          <w:sz w:val="28"/>
          <w:szCs w:val="28"/>
        </w:rPr>
        <w:t>及</w:t>
      </w:r>
      <w:r w:rsidR="00B56C0A">
        <w:rPr>
          <w:rFonts w:ascii="Source Sans Pro" w:eastAsia="標楷體" w:hAnsi="Source Sans Pro"/>
          <w:sz w:val="28"/>
          <w:szCs w:val="28"/>
        </w:rPr>
        <w:t>Omicron</w:t>
      </w:r>
      <w:r w:rsidR="00B56C0A">
        <w:rPr>
          <w:rFonts w:ascii="Source Sans Pro" w:eastAsia="標楷體" w:hAnsi="Source Sans Pro" w:hint="eastAsia"/>
          <w:sz w:val="28"/>
          <w:szCs w:val="28"/>
        </w:rPr>
        <w:t>變種病毒相繼出現，讓染疫人數再現高峰，但</w:t>
      </w:r>
      <w:r w:rsidR="00E21C91">
        <w:rPr>
          <w:rFonts w:ascii="Source Sans Pro" w:eastAsia="標楷體" w:hAnsi="Source Sans Pro" w:hint="eastAsia"/>
          <w:sz w:val="28"/>
          <w:szCs w:val="28"/>
        </w:rPr>
        <w:t>重症</w:t>
      </w:r>
      <w:r w:rsidR="00B56C0A">
        <w:rPr>
          <w:rFonts w:ascii="Source Sans Pro" w:eastAsia="標楷體" w:hAnsi="Source Sans Pro" w:hint="eastAsia"/>
          <w:sz w:val="28"/>
          <w:szCs w:val="28"/>
        </w:rPr>
        <w:t>及死亡</w:t>
      </w:r>
      <w:r w:rsidR="000F29EC">
        <w:rPr>
          <w:rFonts w:ascii="Source Sans Pro" w:eastAsia="標楷體" w:hAnsi="Source Sans Pro" w:hint="eastAsia"/>
          <w:sz w:val="28"/>
          <w:szCs w:val="28"/>
        </w:rPr>
        <w:t>人數已較</w:t>
      </w:r>
      <w:r w:rsidR="000F29EC">
        <w:rPr>
          <w:rFonts w:ascii="Source Sans Pro" w:eastAsia="標楷體" w:hAnsi="Source Sans Pro" w:hint="eastAsia"/>
          <w:sz w:val="28"/>
          <w:szCs w:val="28"/>
        </w:rPr>
        <w:t>2021</w:t>
      </w:r>
      <w:r w:rsidR="000F29EC">
        <w:rPr>
          <w:rFonts w:ascii="Source Sans Pro" w:eastAsia="標楷體" w:hAnsi="Source Sans Pro" w:hint="eastAsia"/>
          <w:sz w:val="28"/>
          <w:szCs w:val="28"/>
        </w:rPr>
        <w:t>年高峰降低很多，歐美國家普遍採取施打疫苗後與病毒共存策略，生活與經濟逐漸復甦</w:t>
      </w:r>
      <w:r w:rsidR="000F29EC" w:rsidRPr="00C339DF">
        <w:rPr>
          <w:rFonts w:ascii="Source Sans Pro" w:eastAsia="標楷體" w:hAnsi="Source Sans Pro"/>
          <w:sz w:val="28"/>
          <w:szCs w:val="28"/>
        </w:rPr>
        <w:t>。</w:t>
      </w:r>
      <w:r w:rsidR="000F29EC">
        <w:rPr>
          <w:rFonts w:ascii="Source Sans Pro" w:eastAsia="標楷體" w:hAnsi="Source Sans Pro" w:hint="eastAsia"/>
          <w:sz w:val="28"/>
          <w:szCs w:val="28"/>
        </w:rPr>
        <w:t>另一方面，新冠疫情引發的供應鏈斷鏈伴隨原物料能源大漲，</w:t>
      </w:r>
      <w:r w:rsidR="000F29EC">
        <w:rPr>
          <w:rFonts w:ascii="Source Sans Pro" w:eastAsia="標楷體" w:hAnsi="Source Sans Pro" w:hint="eastAsia"/>
          <w:sz w:val="28"/>
          <w:szCs w:val="28"/>
        </w:rPr>
        <w:t>S</w:t>
      </w:r>
      <w:r w:rsidR="000F29EC">
        <w:rPr>
          <w:rFonts w:ascii="Source Sans Pro" w:eastAsia="標楷體" w:hAnsi="Source Sans Pro"/>
          <w:sz w:val="28"/>
          <w:szCs w:val="28"/>
        </w:rPr>
        <w:t>&amp;P GSCI</w:t>
      </w:r>
      <w:r w:rsidR="000F29EC">
        <w:rPr>
          <w:rFonts w:ascii="Source Sans Pro" w:eastAsia="標楷體" w:hAnsi="Source Sans Pro" w:hint="eastAsia"/>
          <w:sz w:val="28"/>
          <w:szCs w:val="28"/>
        </w:rPr>
        <w:t>商品指數全年大漲</w:t>
      </w:r>
      <w:r w:rsidR="000F29EC">
        <w:rPr>
          <w:rFonts w:ascii="Source Sans Pro" w:eastAsia="標楷體" w:hAnsi="Source Sans Pro" w:hint="eastAsia"/>
          <w:sz w:val="28"/>
          <w:szCs w:val="28"/>
        </w:rPr>
        <w:t>42.05%</w:t>
      </w:r>
      <w:r w:rsidR="000F29EC">
        <w:rPr>
          <w:rFonts w:ascii="Source Sans Pro" w:eastAsia="標楷體" w:hAnsi="Source Sans Pro" w:hint="eastAsia"/>
          <w:sz w:val="28"/>
          <w:szCs w:val="28"/>
        </w:rPr>
        <w:t>，形成供給面通膨壓力；勞工短缺</w:t>
      </w:r>
      <w:r w:rsidR="000F29EC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0F29EC">
        <w:rPr>
          <w:rFonts w:ascii="Source Sans Pro" w:eastAsia="標楷體" w:hAnsi="Source Sans Pro" w:hint="eastAsia"/>
          <w:sz w:val="28"/>
          <w:szCs w:val="28"/>
        </w:rPr>
        <w:t>薪資上漲以及需求上升又形成需求面通膨壓力，美國通膨率從</w:t>
      </w:r>
      <w:r w:rsidR="000F29EC">
        <w:rPr>
          <w:rFonts w:ascii="Source Sans Pro" w:eastAsia="標楷體" w:hAnsi="Source Sans Pro" w:hint="eastAsia"/>
          <w:sz w:val="28"/>
          <w:szCs w:val="28"/>
        </w:rPr>
        <w:t>2021</w:t>
      </w:r>
      <w:r w:rsidR="000F29EC">
        <w:rPr>
          <w:rFonts w:ascii="Source Sans Pro" w:eastAsia="標楷體" w:hAnsi="Source Sans Pro" w:hint="eastAsia"/>
          <w:sz w:val="28"/>
          <w:szCs w:val="28"/>
        </w:rPr>
        <w:t>年</w:t>
      </w:r>
      <w:r w:rsidR="000F29EC">
        <w:rPr>
          <w:rFonts w:ascii="Source Sans Pro" w:eastAsia="標楷體" w:hAnsi="Source Sans Pro" w:hint="eastAsia"/>
          <w:sz w:val="28"/>
          <w:szCs w:val="28"/>
        </w:rPr>
        <w:t>3</w:t>
      </w:r>
      <w:r w:rsidR="000F29EC">
        <w:rPr>
          <w:rFonts w:ascii="Source Sans Pro" w:eastAsia="標楷體" w:hAnsi="Source Sans Pro" w:hint="eastAsia"/>
          <w:sz w:val="28"/>
          <w:szCs w:val="28"/>
        </w:rPr>
        <w:t>月起連續</w:t>
      </w:r>
      <w:r w:rsidR="000F29EC">
        <w:rPr>
          <w:rFonts w:ascii="Source Sans Pro" w:eastAsia="標楷體" w:hAnsi="Source Sans Pro" w:hint="eastAsia"/>
          <w:sz w:val="28"/>
          <w:szCs w:val="28"/>
        </w:rPr>
        <w:t>9</w:t>
      </w:r>
      <w:r w:rsidR="000F29EC">
        <w:rPr>
          <w:rFonts w:ascii="Source Sans Pro" w:eastAsia="標楷體" w:hAnsi="Source Sans Pro" w:hint="eastAsia"/>
          <w:sz w:val="28"/>
          <w:szCs w:val="28"/>
        </w:rPr>
        <w:t>個月超過聯準會設定的</w:t>
      </w:r>
      <w:r w:rsidR="000F29EC">
        <w:rPr>
          <w:rFonts w:ascii="Source Sans Pro" w:eastAsia="標楷體" w:hAnsi="Source Sans Pro" w:hint="eastAsia"/>
          <w:sz w:val="28"/>
          <w:szCs w:val="28"/>
        </w:rPr>
        <w:t>2%</w:t>
      </w:r>
      <w:r w:rsidR="000F29EC">
        <w:rPr>
          <w:rFonts w:ascii="Source Sans Pro" w:eastAsia="標楷體" w:hAnsi="Source Sans Pro" w:hint="eastAsia"/>
          <w:sz w:val="28"/>
          <w:szCs w:val="28"/>
        </w:rPr>
        <w:t>通膨目標，更從</w:t>
      </w:r>
      <w:r w:rsidR="000F29EC">
        <w:rPr>
          <w:rFonts w:ascii="Source Sans Pro" w:eastAsia="標楷體" w:hAnsi="Source Sans Pro" w:hint="eastAsia"/>
          <w:sz w:val="28"/>
          <w:szCs w:val="28"/>
        </w:rPr>
        <w:t>5</w:t>
      </w:r>
      <w:r w:rsidR="000F29EC">
        <w:rPr>
          <w:rFonts w:ascii="Source Sans Pro" w:eastAsia="標楷體" w:hAnsi="Source Sans Pro" w:hint="eastAsia"/>
          <w:sz w:val="28"/>
          <w:szCs w:val="28"/>
        </w:rPr>
        <w:t>月起每個月都在</w:t>
      </w:r>
      <w:r w:rsidR="000F29EC">
        <w:rPr>
          <w:rFonts w:ascii="Source Sans Pro" w:eastAsia="標楷體" w:hAnsi="Source Sans Pro" w:hint="eastAsia"/>
          <w:sz w:val="28"/>
          <w:szCs w:val="28"/>
        </w:rPr>
        <w:t>5%</w:t>
      </w:r>
      <w:r w:rsidR="000F29EC">
        <w:rPr>
          <w:rFonts w:ascii="Source Sans Pro" w:eastAsia="標楷體" w:hAnsi="Source Sans Pro" w:hint="eastAsia"/>
          <w:sz w:val="28"/>
          <w:szCs w:val="28"/>
        </w:rPr>
        <w:t>之上，</w:t>
      </w:r>
      <w:r w:rsidR="000F29EC">
        <w:rPr>
          <w:rFonts w:ascii="Source Sans Pro" w:eastAsia="標楷體" w:hAnsi="Source Sans Pro" w:hint="eastAsia"/>
          <w:sz w:val="28"/>
          <w:szCs w:val="28"/>
        </w:rPr>
        <w:t>11</w:t>
      </w:r>
      <w:r w:rsidR="000F29EC">
        <w:rPr>
          <w:rFonts w:ascii="Source Sans Pro" w:eastAsia="標楷體" w:hAnsi="Source Sans Pro" w:hint="eastAsia"/>
          <w:sz w:val="28"/>
          <w:szCs w:val="28"/>
        </w:rPr>
        <w:t>月達</w:t>
      </w:r>
      <w:r w:rsidR="000F29EC">
        <w:rPr>
          <w:rFonts w:ascii="Source Sans Pro" w:eastAsia="標楷體" w:hAnsi="Source Sans Pro" w:hint="eastAsia"/>
          <w:sz w:val="28"/>
          <w:szCs w:val="28"/>
        </w:rPr>
        <w:t>6.8%</w:t>
      </w:r>
      <w:r w:rsidR="000F29EC">
        <w:rPr>
          <w:rFonts w:ascii="Source Sans Pro" w:eastAsia="標楷體" w:hAnsi="Source Sans Pro" w:hint="eastAsia"/>
          <w:sz w:val="28"/>
          <w:szCs w:val="28"/>
        </w:rPr>
        <w:t>，創</w:t>
      </w:r>
      <w:r w:rsidR="000F29EC">
        <w:rPr>
          <w:rFonts w:ascii="Source Sans Pro" w:eastAsia="標楷體" w:hAnsi="Source Sans Pro" w:hint="eastAsia"/>
          <w:sz w:val="28"/>
          <w:szCs w:val="28"/>
        </w:rPr>
        <w:t>1982</w:t>
      </w:r>
      <w:r w:rsidR="000F29EC">
        <w:rPr>
          <w:rFonts w:ascii="Source Sans Pro" w:eastAsia="標楷體" w:hAnsi="Source Sans Pro" w:hint="eastAsia"/>
          <w:sz w:val="28"/>
          <w:szCs w:val="28"/>
        </w:rPr>
        <w:t>年</w:t>
      </w:r>
      <w:r w:rsidR="000F29EC">
        <w:rPr>
          <w:rFonts w:ascii="Source Sans Pro" w:eastAsia="標楷體" w:hAnsi="Source Sans Pro" w:hint="eastAsia"/>
          <w:sz w:val="28"/>
          <w:szCs w:val="28"/>
        </w:rPr>
        <w:t>6</w:t>
      </w:r>
      <w:r w:rsidR="000F29EC">
        <w:rPr>
          <w:rFonts w:ascii="Source Sans Pro" w:eastAsia="標楷體" w:hAnsi="Source Sans Pro" w:hint="eastAsia"/>
          <w:sz w:val="28"/>
          <w:szCs w:val="28"/>
        </w:rPr>
        <w:t>月以來新高</w:t>
      </w:r>
      <w:r w:rsidR="000F29EC" w:rsidRPr="00C339DF">
        <w:rPr>
          <w:rFonts w:ascii="Source Sans Pro" w:eastAsia="標楷體" w:hAnsi="Source Sans Pro"/>
          <w:sz w:val="28"/>
          <w:szCs w:val="28"/>
        </w:rPr>
        <w:t>。</w:t>
      </w:r>
      <w:r w:rsidR="000F29EC">
        <w:rPr>
          <w:rFonts w:ascii="Source Sans Pro" w:eastAsia="標楷體" w:hAnsi="Source Sans Pro" w:hint="eastAsia"/>
          <w:sz w:val="28"/>
          <w:szCs w:val="28"/>
        </w:rPr>
        <w:t>美國聯準會主席鮑爾</w:t>
      </w:r>
      <w:r w:rsidR="000F29EC">
        <w:rPr>
          <w:rFonts w:ascii="Source Sans Pro" w:eastAsia="標楷體" w:hAnsi="Source Sans Pro" w:hint="eastAsia"/>
          <w:sz w:val="28"/>
          <w:szCs w:val="28"/>
        </w:rPr>
        <w:t>9</w:t>
      </w:r>
      <w:r w:rsidR="000F29EC">
        <w:rPr>
          <w:rFonts w:ascii="Source Sans Pro" w:eastAsia="標楷體" w:hAnsi="Source Sans Pro" w:hint="eastAsia"/>
          <w:sz w:val="28"/>
          <w:szCs w:val="28"/>
        </w:rPr>
        <w:t>月底首度承認通膨不但偏高，而且通膨率飆高的時間將遠超過預期</w:t>
      </w:r>
      <w:r w:rsidR="000F29EC" w:rsidRPr="00C339DF">
        <w:rPr>
          <w:rFonts w:ascii="Source Sans Pro" w:eastAsia="標楷體" w:hAnsi="Source Sans Pro"/>
          <w:sz w:val="28"/>
          <w:szCs w:val="28"/>
        </w:rPr>
        <w:t>。</w:t>
      </w:r>
      <w:r w:rsidR="000F29EC">
        <w:rPr>
          <w:rFonts w:ascii="Source Sans Pro" w:eastAsia="標楷體" w:hAnsi="Source Sans Pro" w:hint="eastAsia"/>
          <w:sz w:val="28"/>
          <w:szCs w:val="28"/>
        </w:rPr>
        <w:t>聯準會</w:t>
      </w:r>
      <w:r w:rsidR="000F29EC">
        <w:rPr>
          <w:rFonts w:ascii="Source Sans Pro" w:eastAsia="標楷體" w:hAnsi="Source Sans Pro" w:hint="eastAsia"/>
          <w:sz w:val="28"/>
          <w:szCs w:val="28"/>
        </w:rPr>
        <w:t>11</w:t>
      </w:r>
      <w:r w:rsidR="000F29EC">
        <w:rPr>
          <w:rFonts w:ascii="Source Sans Pro" w:eastAsia="標楷體" w:hAnsi="Source Sans Pro" w:hint="eastAsia"/>
          <w:sz w:val="28"/>
          <w:szCs w:val="28"/>
        </w:rPr>
        <w:t>月啟動縮減購債，</w:t>
      </w:r>
      <w:r w:rsidR="000F29EC">
        <w:rPr>
          <w:rFonts w:ascii="Source Sans Pro" w:eastAsia="標楷體" w:hAnsi="Source Sans Pro" w:hint="eastAsia"/>
          <w:sz w:val="28"/>
          <w:szCs w:val="28"/>
        </w:rPr>
        <w:t>1</w:t>
      </w:r>
      <w:r w:rsidR="000F29EC">
        <w:rPr>
          <w:rFonts w:ascii="Source Sans Pro" w:eastAsia="標楷體" w:hAnsi="Source Sans Pro"/>
          <w:sz w:val="28"/>
          <w:szCs w:val="28"/>
        </w:rPr>
        <w:t>2</w:t>
      </w:r>
      <w:r w:rsidR="000F29EC">
        <w:rPr>
          <w:rFonts w:ascii="Source Sans Pro" w:eastAsia="標楷體" w:hAnsi="Source Sans Pro" w:hint="eastAsia"/>
          <w:sz w:val="28"/>
          <w:szCs w:val="28"/>
        </w:rPr>
        <w:t>月宣布加速縮減購債</w:t>
      </w:r>
      <w:r w:rsidR="000F29EC" w:rsidRPr="00C339DF">
        <w:rPr>
          <w:rFonts w:ascii="Source Sans Pro" w:eastAsia="標楷體" w:hAnsi="Source Sans Pro"/>
          <w:sz w:val="28"/>
          <w:szCs w:val="28"/>
        </w:rPr>
        <w:t>。</w:t>
      </w:r>
      <w:r w:rsidR="000F29EC">
        <w:rPr>
          <w:rFonts w:ascii="Source Sans Pro" w:eastAsia="標楷體" w:hAnsi="Source Sans Pro" w:hint="eastAsia"/>
          <w:sz w:val="28"/>
          <w:szCs w:val="28"/>
        </w:rPr>
        <w:t>債券市場對通膨及升息預期其實比聯準會更早更快，</w:t>
      </w:r>
      <w:r w:rsidR="00F20C43">
        <w:rPr>
          <w:rFonts w:ascii="Source Sans Pro" w:eastAsia="標楷體" w:hAnsi="Source Sans Pro" w:hint="eastAsia"/>
          <w:sz w:val="28"/>
          <w:szCs w:val="28"/>
        </w:rPr>
        <w:t>在</w:t>
      </w:r>
      <w:r w:rsidR="00F20C43">
        <w:rPr>
          <w:rFonts w:ascii="Source Sans Pro" w:eastAsia="標楷體" w:hAnsi="Source Sans Pro" w:hint="eastAsia"/>
          <w:sz w:val="28"/>
          <w:szCs w:val="28"/>
        </w:rPr>
        <w:t>2</w:t>
      </w:r>
      <w:r w:rsidR="00F20C43">
        <w:rPr>
          <w:rFonts w:ascii="Source Sans Pro" w:eastAsia="標楷體" w:hAnsi="Source Sans Pro" w:hint="eastAsia"/>
          <w:sz w:val="28"/>
          <w:szCs w:val="28"/>
        </w:rPr>
        <w:t>月美債殖利率就已大幅攀升，隨後雖有起伏，但年底的殖利率與年初相較仍有不小升幅</w:t>
      </w:r>
      <w:r w:rsidR="00F20C43" w:rsidRPr="00C339DF">
        <w:rPr>
          <w:rFonts w:ascii="Source Sans Pro" w:eastAsia="標楷體" w:hAnsi="Source Sans Pro"/>
          <w:sz w:val="28"/>
          <w:szCs w:val="28"/>
        </w:rPr>
        <w:t>。</w:t>
      </w:r>
      <w:r w:rsidR="00F20C43">
        <w:rPr>
          <w:rFonts w:ascii="Source Sans Pro" w:eastAsia="標楷體" w:hAnsi="Source Sans Pro" w:hint="eastAsia"/>
          <w:sz w:val="28"/>
          <w:szCs w:val="28"/>
        </w:rPr>
        <w:t>美國</w:t>
      </w:r>
      <w:r w:rsidR="00F20C43">
        <w:rPr>
          <w:rFonts w:ascii="Source Sans Pro" w:eastAsia="標楷體" w:hAnsi="Source Sans Pro" w:hint="eastAsia"/>
          <w:sz w:val="28"/>
          <w:szCs w:val="28"/>
        </w:rPr>
        <w:t>10</w:t>
      </w:r>
      <w:r w:rsidR="00F20C43">
        <w:rPr>
          <w:rFonts w:ascii="Source Sans Pro" w:eastAsia="標楷體" w:hAnsi="Source Sans Pro" w:hint="eastAsia"/>
          <w:sz w:val="28"/>
          <w:szCs w:val="28"/>
        </w:rPr>
        <w:t>年期公債殖利率</w:t>
      </w:r>
      <w:r w:rsidR="00F20C43">
        <w:rPr>
          <w:rFonts w:ascii="Source Sans Pro" w:eastAsia="標楷體" w:hAnsi="Source Sans Pro" w:hint="eastAsia"/>
          <w:sz w:val="28"/>
          <w:szCs w:val="28"/>
        </w:rPr>
        <w:t>2021</w:t>
      </w:r>
      <w:r w:rsidR="00F20C43">
        <w:rPr>
          <w:rFonts w:ascii="Source Sans Pro" w:eastAsia="標楷體" w:hAnsi="Source Sans Pro" w:hint="eastAsia"/>
          <w:sz w:val="28"/>
          <w:szCs w:val="28"/>
        </w:rPr>
        <w:t>年底為</w:t>
      </w:r>
      <w:r w:rsidR="00F20C43">
        <w:rPr>
          <w:rFonts w:ascii="Source Sans Pro" w:eastAsia="標楷體" w:hAnsi="Source Sans Pro" w:hint="eastAsia"/>
          <w:sz w:val="28"/>
          <w:szCs w:val="28"/>
        </w:rPr>
        <w:t>1.52%</w:t>
      </w:r>
      <w:r w:rsidR="00F20C43">
        <w:rPr>
          <w:rFonts w:ascii="Source Sans Pro" w:eastAsia="標楷體" w:hAnsi="Source Sans Pro" w:hint="eastAsia"/>
          <w:sz w:val="28"/>
          <w:szCs w:val="28"/>
        </w:rPr>
        <w:t>，較年初上升</w:t>
      </w:r>
      <w:r w:rsidR="00F20C43">
        <w:rPr>
          <w:rFonts w:ascii="Source Sans Pro" w:eastAsia="標楷體" w:hAnsi="Source Sans Pro" w:hint="eastAsia"/>
          <w:sz w:val="28"/>
          <w:szCs w:val="28"/>
        </w:rPr>
        <w:t>0.59%</w:t>
      </w:r>
      <w:r w:rsidR="00F20C43">
        <w:rPr>
          <w:rFonts w:ascii="Source Sans Pro" w:eastAsia="標楷體" w:hAnsi="Source Sans Pro" w:hint="eastAsia"/>
          <w:sz w:val="28"/>
          <w:szCs w:val="28"/>
        </w:rPr>
        <w:t>，</w:t>
      </w:r>
      <w:r w:rsidR="00F20C43">
        <w:rPr>
          <w:rFonts w:ascii="Source Sans Pro" w:eastAsia="標楷體" w:hAnsi="Source Sans Pro" w:hint="eastAsia"/>
          <w:sz w:val="28"/>
          <w:szCs w:val="28"/>
        </w:rPr>
        <w:t>3</w:t>
      </w:r>
      <w:r w:rsidR="00F20C43">
        <w:rPr>
          <w:rFonts w:ascii="Source Sans Pro" w:eastAsia="標楷體" w:hAnsi="Source Sans Pro"/>
          <w:sz w:val="28"/>
          <w:szCs w:val="28"/>
        </w:rPr>
        <w:t>0</w:t>
      </w:r>
      <w:r w:rsidR="00F20C43">
        <w:rPr>
          <w:rFonts w:ascii="Source Sans Pro" w:eastAsia="標楷體" w:hAnsi="Source Sans Pro" w:hint="eastAsia"/>
          <w:sz w:val="28"/>
          <w:szCs w:val="28"/>
        </w:rPr>
        <w:t>年期公債殖利率</w:t>
      </w:r>
      <w:r w:rsidR="00F20C43">
        <w:rPr>
          <w:rFonts w:ascii="Source Sans Pro" w:eastAsia="標楷體" w:hAnsi="Source Sans Pro" w:hint="eastAsia"/>
          <w:sz w:val="28"/>
          <w:szCs w:val="28"/>
        </w:rPr>
        <w:t>1.90%</w:t>
      </w:r>
      <w:r w:rsidR="00F20C43">
        <w:rPr>
          <w:rFonts w:ascii="Source Sans Pro" w:eastAsia="標楷體" w:hAnsi="Source Sans Pro" w:hint="eastAsia"/>
          <w:sz w:val="28"/>
          <w:szCs w:val="28"/>
        </w:rPr>
        <w:t>，較年初上升</w:t>
      </w:r>
      <w:r w:rsidR="00F20C43">
        <w:rPr>
          <w:rFonts w:ascii="Source Sans Pro" w:eastAsia="標楷體" w:hAnsi="Source Sans Pro" w:hint="eastAsia"/>
          <w:sz w:val="28"/>
          <w:szCs w:val="28"/>
        </w:rPr>
        <w:t>0.24%</w:t>
      </w:r>
      <w:r w:rsidR="00F20C43" w:rsidRPr="00C339DF">
        <w:rPr>
          <w:rFonts w:ascii="Source Sans Pro" w:eastAsia="標楷體" w:hAnsi="Source Sans Pro"/>
          <w:sz w:val="28"/>
          <w:szCs w:val="28"/>
        </w:rPr>
        <w:t>。</w:t>
      </w:r>
      <w:r w:rsidR="00F20C43">
        <w:rPr>
          <w:rFonts w:ascii="Source Sans Pro" w:eastAsia="標楷體" w:hAnsi="Source Sans Pro" w:hint="eastAsia"/>
          <w:sz w:val="28"/>
          <w:szCs w:val="28"/>
        </w:rPr>
        <w:t>中短期的利率反應最大，</w:t>
      </w:r>
      <w:r w:rsidR="00F20C43">
        <w:rPr>
          <w:rFonts w:ascii="Source Sans Pro" w:eastAsia="標楷體" w:hAnsi="Source Sans Pro" w:hint="eastAsia"/>
          <w:sz w:val="28"/>
          <w:szCs w:val="28"/>
        </w:rPr>
        <w:t>2</w:t>
      </w:r>
      <w:r w:rsidR="00F20C43">
        <w:rPr>
          <w:rFonts w:ascii="Source Sans Pro" w:eastAsia="標楷體" w:hAnsi="Source Sans Pro" w:hint="eastAsia"/>
          <w:sz w:val="28"/>
          <w:szCs w:val="28"/>
        </w:rPr>
        <w:t>年期殖利率收</w:t>
      </w:r>
      <w:r w:rsidR="00F20C43">
        <w:rPr>
          <w:rFonts w:ascii="Source Sans Pro" w:eastAsia="標楷體" w:hAnsi="Source Sans Pro" w:hint="eastAsia"/>
          <w:sz w:val="28"/>
          <w:szCs w:val="28"/>
        </w:rPr>
        <w:t>0.73%</w:t>
      </w:r>
      <w:r w:rsidR="00F20C43">
        <w:rPr>
          <w:rFonts w:ascii="Source Sans Pro" w:eastAsia="標楷體" w:hAnsi="Source Sans Pro" w:hint="eastAsia"/>
          <w:sz w:val="28"/>
          <w:szCs w:val="28"/>
        </w:rPr>
        <w:t>，較年初上升</w:t>
      </w:r>
      <w:r w:rsidR="00F20C43">
        <w:rPr>
          <w:rFonts w:ascii="Source Sans Pro" w:eastAsia="標楷體" w:hAnsi="Source Sans Pro" w:hint="eastAsia"/>
          <w:sz w:val="28"/>
          <w:szCs w:val="28"/>
        </w:rPr>
        <w:t>0.62%</w:t>
      </w:r>
      <w:r w:rsidR="00F20C43">
        <w:rPr>
          <w:rFonts w:ascii="Source Sans Pro" w:eastAsia="標楷體" w:hAnsi="Source Sans Pro" w:hint="eastAsia"/>
          <w:sz w:val="28"/>
          <w:szCs w:val="28"/>
        </w:rPr>
        <w:t>，</w:t>
      </w:r>
      <w:r w:rsidR="00F20C43">
        <w:rPr>
          <w:rFonts w:ascii="Source Sans Pro" w:eastAsia="標楷體" w:hAnsi="Source Sans Pro" w:hint="eastAsia"/>
          <w:sz w:val="28"/>
          <w:szCs w:val="28"/>
        </w:rPr>
        <w:t>5</w:t>
      </w:r>
      <w:r w:rsidR="00F20C43">
        <w:rPr>
          <w:rFonts w:ascii="Source Sans Pro" w:eastAsia="標楷體" w:hAnsi="Source Sans Pro" w:hint="eastAsia"/>
          <w:sz w:val="28"/>
          <w:szCs w:val="28"/>
        </w:rPr>
        <w:lastRenderedPageBreak/>
        <w:t>年期殖利率收</w:t>
      </w:r>
      <w:r w:rsidR="00F20C43">
        <w:rPr>
          <w:rFonts w:ascii="Source Sans Pro" w:eastAsia="標楷體" w:hAnsi="Source Sans Pro" w:hint="eastAsia"/>
          <w:sz w:val="28"/>
          <w:szCs w:val="28"/>
        </w:rPr>
        <w:t>1.26%</w:t>
      </w:r>
      <w:r w:rsidR="00F20C43">
        <w:rPr>
          <w:rFonts w:ascii="Source Sans Pro" w:eastAsia="標楷體" w:hAnsi="Source Sans Pro" w:hint="eastAsia"/>
          <w:sz w:val="28"/>
          <w:szCs w:val="28"/>
        </w:rPr>
        <w:t>，較年初上升</w:t>
      </w:r>
      <w:r w:rsidR="00F20C43">
        <w:rPr>
          <w:rFonts w:ascii="Source Sans Pro" w:eastAsia="標楷體" w:hAnsi="Source Sans Pro" w:hint="eastAsia"/>
          <w:sz w:val="28"/>
          <w:szCs w:val="28"/>
        </w:rPr>
        <w:t>0.9%</w:t>
      </w:r>
      <w:r w:rsidR="00F20C43">
        <w:rPr>
          <w:rFonts w:ascii="Source Sans Pro" w:eastAsia="標楷體" w:hAnsi="Source Sans Pro" w:hint="eastAsia"/>
          <w:sz w:val="28"/>
          <w:szCs w:val="28"/>
        </w:rPr>
        <w:t>，殖利率曲線較年初扁平許多</w:t>
      </w:r>
      <w:r w:rsidR="00F20C43" w:rsidRPr="00C339DF">
        <w:rPr>
          <w:rFonts w:ascii="Source Sans Pro" w:eastAsia="標楷體" w:hAnsi="Source Sans Pro"/>
          <w:sz w:val="28"/>
          <w:szCs w:val="28"/>
        </w:rPr>
        <w:t>。</w:t>
      </w:r>
      <w:r w:rsidR="00F20C43">
        <w:rPr>
          <w:rFonts w:ascii="Source Sans Pro" w:eastAsia="標楷體" w:hAnsi="Source Sans Pro" w:hint="eastAsia"/>
          <w:sz w:val="28"/>
          <w:szCs w:val="28"/>
        </w:rPr>
        <w:t>歐洲及日本公債殖利率在</w:t>
      </w:r>
      <w:r w:rsidR="00F20C43">
        <w:rPr>
          <w:rFonts w:ascii="Source Sans Pro" w:eastAsia="標楷體" w:hAnsi="Source Sans Pro" w:hint="eastAsia"/>
          <w:sz w:val="28"/>
          <w:szCs w:val="28"/>
        </w:rPr>
        <w:t>2021</w:t>
      </w:r>
      <w:r w:rsidR="00F20C43">
        <w:rPr>
          <w:rFonts w:ascii="Source Sans Pro" w:eastAsia="標楷體" w:hAnsi="Source Sans Pro" w:hint="eastAsia"/>
          <w:sz w:val="28"/>
          <w:szCs w:val="28"/>
        </w:rPr>
        <w:t>年也是上升的，只是升幅不如美國劇烈</w:t>
      </w:r>
      <w:r w:rsidR="00F20C43" w:rsidRPr="00C339DF">
        <w:rPr>
          <w:rFonts w:ascii="Source Sans Pro" w:eastAsia="標楷體" w:hAnsi="Source Sans Pro"/>
          <w:sz w:val="28"/>
          <w:szCs w:val="28"/>
        </w:rPr>
        <w:t>。</w:t>
      </w:r>
      <w:r w:rsidR="007440CB">
        <w:rPr>
          <w:rFonts w:ascii="Source Sans Pro" w:eastAsia="標楷體" w:hAnsi="Source Sans Pro" w:hint="eastAsia"/>
          <w:sz w:val="28"/>
          <w:szCs w:val="28"/>
        </w:rPr>
        <w:t>在升息的環境中，債券表現普遍不佳</w:t>
      </w:r>
      <w:r w:rsidR="007440CB"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0A891AF9" w14:textId="77777777" w:rsidR="007440CB" w:rsidRDefault="007440CB" w:rsidP="00805E90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54AFA0F8" w14:textId="77777777" w:rsidR="000344C5" w:rsidRDefault="007440CB" w:rsidP="00805E90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股票報酬雖然也受升</w:t>
      </w:r>
      <w:r w:rsidR="00C20E1F">
        <w:rPr>
          <w:rFonts w:ascii="Source Sans Pro" w:eastAsia="標楷體" w:hAnsi="Source Sans Pro" w:hint="eastAsia"/>
          <w:sz w:val="28"/>
          <w:szCs w:val="28"/>
        </w:rPr>
        <w:t>息</w:t>
      </w:r>
      <w:r>
        <w:rPr>
          <w:rFonts w:ascii="Source Sans Pro" w:eastAsia="標楷體" w:hAnsi="Source Sans Pro" w:hint="eastAsia"/>
          <w:sz w:val="28"/>
          <w:szCs w:val="28"/>
        </w:rPr>
        <w:t>預期不利影響，但封城解除</w:t>
      </w:r>
      <w:r w:rsidR="000F29EC"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經濟復甦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就業改善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需求升溫所帶來企業營收與獲利上升的好處更多，特別是普遍施打疫苗的成熟國家，股市在</w:t>
      </w:r>
      <w:r>
        <w:rPr>
          <w:rFonts w:ascii="Source Sans Pro" w:eastAsia="標楷體" w:hAnsi="Source Sans Pro" w:hint="eastAsia"/>
          <w:sz w:val="28"/>
          <w:szCs w:val="28"/>
        </w:rPr>
        <w:t>2021</w:t>
      </w:r>
      <w:r>
        <w:rPr>
          <w:rFonts w:ascii="Source Sans Pro" w:eastAsia="標楷體" w:hAnsi="Source Sans Pro" w:hint="eastAsia"/>
          <w:sz w:val="28"/>
          <w:szCs w:val="28"/>
        </w:rPr>
        <w:t>年繳出很不錯的成績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美國標準普爾</w:t>
      </w:r>
      <w:r>
        <w:rPr>
          <w:rFonts w:ascii="Source Sans Pro" w:eastAsia="標楷體" w:hAnsi="Source Sans Pro" w:hint="eastAsia"/>
          <w:sz w:val="28"/>
          <w:szCs w:val="28"/>
        </w:rPr>
        <w:t>500</w:t>
      </w:r>
      <w:r>
        <w:rPr>
          <w:rFonts w:ascii="Source Sans Pro" w:eastAsia="標楷體" w:hAnsi="Source Sans Pro" w:hint="eastAsia"/>
          <w:sz w:val="28"/>
          <w:szCs w:val="28"/>
        </w:rPr>
        <w:t>指數上漲</w:t>
      </w:r>
      <w:r>
        <w:rPr>
          <w:rFonts w:ascii="Source Sans Pro" w:eastAsia="標楷體" w:hAnsi="Source Sans Pro" w:hint="eastAsia"/>
          <w:sz w:val="28"/>
          <w:szCs w:val="28"/>
        </w:rPr>
        <w:t>26.89%</w:t>
      </w:r>
      <w:r>
        <w:rPr>
          <w:rFonts w:ascii="Source Sans Pro" w:eastAsia="標楷體" w:hAnsi="Source Sans Pro" w:hint="eastAsia"/>
          <w:sz w:val="28"/>
          <w:szCs w:val="28"/>
        </w:rPr>
        <w:t>，那斯達克指數上漲</w:t>
      </w:r>
      <w:r>
        <w:rPr>
          <w:rFonts w:ascii="Source Sans Pro" w:eastAsia="標楷體" w:hAnsi="Source Sans Pro" w:hint="eastAsia"/>
          <w:sz w:val="28"/>
          <w:szCs w:val="28"/>
        </w:rPr>
        <w:t>21.39%</w:t>
      </w:r>
      <w:r>
        <w:rPr>
          <w:rFonts w:ascii="Source Sans Pro" w:eastAsia="標楷體" w:hAnsi="Source Sans Pro" w:hint="eastAsia"/>
          <w:sz w:val="28"/>
          <w:szCs w:val="28"/>
        </w:rPr>
        <w:t>，道瓊歐洲</w:t>
      </w:r>
      <w:r>
        <w:rPr>
          <w:rFonts w:ascii="Source Sans Pro" w:eastAsia="標楷體" w:hAnsi="Source Sans Pro" w:hint="eastAsia"/>
          <w:sz w:val="28"/>
          <w:szCs w:val="28"/>
        </w:rPr>
        <w:t>S</w:t>
      </w:r>
      <w:r>
        <w:rPr>
          <w:rFonts w:ascii="Source Sans Pro" w:eastAsia="標楷體" w:hAnsi="Source Sans Pro"/>
          <w:sz w:val="28"/>
          <w:szCs w:val="28"/>
        </w:rPr>
        <w:t xml:space="preserve">TOXX </w:t>
      </w:r>
      <w:r>
        <w:rPr>
          <w:rFonts w:ascii="Source Sans Pro" w:eastAsia="標楷體" w:hAnsi="Source Sans Pro" w:hint="eastAsia"/>
          <w:sz w:val="28"/>
          <w:szCs w:val="28"/>
        </w:rPr>
        <w:t>5</w:t>
      </w:r>
      <w:r>
        <w:rPr>
          <w:rFonts w:ascii="Source Sans Pro" w:eastAsia="標楷體" w:hAnsi="Source Sans Pro"/>
          <w:sz w:val="28"/>
          <w:szCs w:val="28"/>
        </w:rPr>
        <w:t>0</w:t>
      </w:r>
      <w:r>
        <w:rPr>
          <w:rFonts w:ascii="Source Sans Pro" w:eastAsia="標楷體" w:hAnsi="Source Sans Pro" w:hint="eastAsia"/>
          <w:sz w:val="28"/>
          <w:szCs w:val="28"/>
        </w:rPr>
        <w:t>指數上漲</w:t>
      </w:r>
      <w:r>
        <w:rPr>
          <w:rFonts w:ascii="Source Sans Pro" w:eastAsia="標楷體" w:hAnsi="Source Sans Pro" w:hint="eastAsia"/>
          <w:sz w:val="28"/>
          <w:szCs w:val="28"/>
        </w:rPr>
        <w:t>22.85%</w:t>
      </w:r>
      <w:r>
        <w:rPr>
          <w:rFonts w:ascii="Source Sans Pro" w:eastAsia="標楷體" w:hAnsi="Source Sans Pro" w:hint="eastAsia"/>
          <w:sz w:val="28"/>
          <w:szCs w:val="28"/>
        </w:rPr>
        <w:t>，</w:t>
      </w:r>
      <w:r>
        <w:rPr>
          <w:rFonts w:ascii="Source Sans Pro" w:eastAsia="標楷體" w:hAnsi="Source Sans Pro" w:hint="eastAsia"/>
          <w:sz w:val="28"/>
          <w:szCs w:val="28"/>
        </w:rPr>
        <w:t>M</w:t>
      </w:r>
      <w:r>
        <w:rPr>
          <w:rFonts w:ascii="Source Sans Pro" w:eastAsia="標楷體" w:hAnsi="Source Sans Pro"/>
          <w:sz w:val="28"/>
          <w:szCs w:val="28"/>
        </w:rPr>
        <w:t>SCI</w:t>
      </w:r>
      <w:r>
        <w:rPr>
          <w:rFonts w:ascii="Source Sans Pro" w:eastAsia="標楷體" w:hAnsi="Source Sans Pro" w:hint="eastAsia"/>
          <w:sz w:val="28"/>
          <w:szCs w:val="28"/>
        </w:rPr>
        <w:t>歐洲指數上漲</w:t>
      </w:r>
      <w:r>
        <w:rPr>
          <w:rFonts w:ascii="Source Sans Pro" w:eastAsia="標楷體" w:hAnsi="Source Sans Pro" w:hint="eastAsia"/>
          <w:sz w:val="28"/>
          <w:szCs w:val="28"/>
        </w:rPr>
        <w:t>12.95%</w:t>
      </w:r>
      <w:r>
        <w:rPr>
          <w:rFonts w:ascii="Source Sans Pro" w:eastAsia="標楷體" w:hAnsi="Source Sans Pro" w:hint="eastAsia"/>
          <w:sz w:val="28"/>
          <w:szCs w:val="28"/>
        </w:rPr>
        <w:t>，日本東証</w:t>
      </w:r>
      <w:r>
        <w:rPr>
          <w:rFonts w:ascii="Source Sans Pro" w:eastAsia="標楷體" w:hAnsi="Source Sans Pro"/>
          <w:sz w:val="28"/>
          <w:szCs w:val="28"/>
        </w:rPr>
        <w:t>Topix</w:t>
      </w:r>
      <w:r>
        <w:rPr>
          <w:rFonts w:ascii="Source Sans Pro" w:eastAsia="標楷體" w:hAnsi="Source Sans Pro" w:hint="eastAsia"/>
          <w:sz w:val="28"/>
          <w:szCs w:val="28"/>
        </w:rPr>
        <w:t>股價指數上漲</w:t>
      </w:r>
      <w:r>
        <w:rPr>
          <w:rFonts w:ascii="Source Sans Pro" w:eastAsia="標楷體" w:hAnsi="Source Sans Pro" w:hint="eastAsia"/>
          <w:sz w:val="28"/>
          <w:szCs w:val="28"/>
        </w:rPr>
        <w:t>10.4%</w:t>
      </w:r>
      <w:r>
        <w:rPr>
          <w:rFonts w:ascii="Source Sans Pro" w:eastAsia="標楷體" w:hAnsi="Source Sans Pro" w:hint="eastAsia"/>
          <w:sz w:val="28"/>
          <w:szCs w:val="28"/>
        </w:rPr>
        <w:t>，日經</w:t>
      </w:r>
      <w:r>
        <w:rPr>
          <w:rFonts w:ascii="Source Sans Pro" w:eastAsia="標楷體" w:hAnsi="Source Sans Pro" w:hint="eastAsia"/>
          <w:sz w:val="28"/>
          <w:szCs w:val="28"/>
        </w:rPr>
        <w:t>225</w:t>
      </w:r>
      <w:r>
        <w:rPr>
          <w:rFonts w:ascii="Source Sans Pro" w:eastAsia="標楷體" w:hAnsi="Source Sans Pro" w:hint="eastAsia"/>
          <w:sz w:val="28"/>
          <w:szCs w:val="28"/>
        </w:rPr>
        <w:t>指數上漲</w:t>
      </w:r>
      <w:r>
        <w:rPr>
          <w:rFonts w:ascii="Source Sans Pro" w:eastAsia="標楷體" w:hAnsi="Source Sans Pro" w:hint="eastAsia"/>
          <w:sz w:val="28"/>
          <w:szCs w:val="28"/>
        </w:rPr>
        <w:t>4.91%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新興市場表現與成熟市場有很大落差，</w:t>
      </w:r>
      <w:r>
        <w:rPr>
          <w:rFonts w:ascii="Source Sans Pro" w:eastAsia="標楷體" w:hAnsi="Source Sans Pro"/>
          <w:sz w:val="28"/>
          <w:szCs w:val="28"/>
        </w:rPr>
        <w:t>MSCI</w:t>
      </w:r>
      <w:r>
        <w:rPr>
          <w:rFonts w:ascii="Source Sans Pro" w:eastAsia="標楷體" w:hAnsi="Source Sans Pro" w:hint="eastAsia"/>
          <w:sz w:val="28"/>
          <w:szCs w:val="28"/>
        </w:rPr>
        <w:t>新興市場指數下跌</w:t>
      </w:r>
      <w:r>
        <w:rPr>
          <w:rFonts w:ascii="Source Sans Pro" w:eastAsia="標楷體" w:hAnsi="Source Sans Pro" w:hint="eastAsia"/>
          <w:sz w:val="28"/>
          <w:szCs w:val="28"/>
        </w:rPr>
        <w:t>2.22%</w:t>
      </w:r>
      <w:r>
        <w:rPr>
          <w:rFonts w:ascii="Source Sans Pro" w:eastAsia="標楷體" w:hAnsi="Source Sans Pro" w:hint="eastAsia"/>
          <w:sz w:val="28"/>
          <w:szCs w:val="28"/>
        </w:rPr>
        <w:t>，中國受新的產業監管政策及恆大地產財務危機影響，滬深</w:t>
      </w:r>
      <w:r>
        <w:rPr>
          <w:rFonts w:ascii="Source Sans Pro" w:eastAsia="標楷體" w:hAnsi="Source Sans Pro" w:hint="eastAsia"/>
          <w:sz w:val="28"/>
          <w:szCs w:val="28"/>
        </w:rPr>
        <w:t>300</w:t>
      </w:r>
      <w:r>
        <w:rPr>
          <w:rFonts w:ascii="Source Sans Pro" w:eastAsia="標楷體" w:hAnsi="Source Sans Pro" w:hint="eastAsia"/>
          <w:sz w:val="28"/>
          <w:szCs w:val="28"/>
        </w:rPr>
        <w:t>指數下跌</w:t>
      </w:r>
      <w:r>
        <w:rPr>
          <w:rFonts w:ascii="Source Sans Pro" w:eastAsia="標楷體" w:hAnsi="Source Sans Pro" w:hint="eastAsia"/>
          <w:sz w:val="28"/>
          <w:szCs w:val="28"/>
        </w:rPr>
        <w:t>5.2%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M</w:t>
      </w:r>
      <w:r>
        <w:rPr>
          <w:rFonts w:ascii="Source Sans Pro" w:eastAsia="標楷體" w:hAnsi="Source Sans Pro"/>
          <w:sz w:val="28"/>
          <w:szCs w:val="28"/>
        </w:rPr>
        <w:t>SCI</w:t>
      </w:r>
      <w:r>
        <w:rPr>
          <w:rFonts w:ascii="Source Sans Pro" w:eastAsia="標楷體" w:hAnsi="Source Sans Pro" w:hint="eastAsia"/>
          <w:sz w:val="28"/>
          <w:szCs w:val="28"/>
        </w:rPr>
        <w:t>世界指數全年上漲</w:t>
      </w:r>
      <w:r>
        <w:rPr>
          <w:rFonts w:ascii="Source Sans Pro" w:eastAsia="標楷體" w:hAnsi="Source Sans Pro" w:hint="eastAsia"/>
          <w:sz w:val="28"/>
          <w:szCs w:val="28"/>
        </w:rPr>
        <w:t>19.04%</w:t>
      </w:r>
      <w:r>
        <w:rPr>
          <w:rFonts w:ascii="Source Sans Pro" w:eastAsia="標楷體" w:hAnsi="Source Sans Pro" w:hint="eastAsia"/>
          <w:sz w:val="28"/>
          <w:szCs w:val="28"/>
        </w:rPr>
        <w:t>，漲幅主要來自成熟股市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 w:rsidR="00C20E1F">
        <w:rPr>
          <w:rFonts w:ascii="Source Sans Pro" w:eastAsia="標楷體" w:hAnsi="Source Sans Pro" w:hint="eastAsia"/>
          <w:sz w:val="28"/>
          <w:szCs w:val="28"/>
        </w:rPr>
        <w:t>台灣受新冠疫情影響較小，又受惠於電子業</w:t>
      </w:r>
      <w:r w:rsidR="00C20E1F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C20E1F">
        <w:rPr>
          <w:rFonts w:ascii="Source Sans Pro" w:eastAsia="標楷體" w:hAnsi="Source Sans Pro" w:hint="eastAsia"/>
          <w:sz w:val="28"/>
          <w:szCs w:val="28"/>
        </w:rPr>
        <w:t>航運業榮景及新興產業如電動車等發展，上市櫃公司的營收及盈餘皆有成長，內外資積極加碼，加權股價報酬指數全年上漲</w:t>
      </w:r>
      <w:r w:rsidR="00C20E1F">
        <w:rPr>
          <w:rFonts w:ascii="Source Sans Pro" w:eastAsia="標楷體" w:hAnsi="Source Sans Pro" w:hint="eastAsia"/>
          <w:sz w:val="28"/>
          <w:szCs w:val="28"/>
        </w:rPr>
        <w:t>27.06%</w:t>
      </w:r>
      <w:r w:rsidR="00C20E1F">
        <w:rPr>
          <w:rFonts w:ascii="Source Sans Pro" w:eastAsia="標楷體" w:hAnsi="Source Sans Pro" w:hint="eastAsia"/>
          <w:sz w:val="28"/>
          <w:szCs w:val="28"/>
        </w:rPr>
        <w:t>，</w:t>
      </w:r>
      <w:r w:rsidR="00C20E1F">
        <w:rPr>
          <w:rFonts w:ascii="Source Sans Pro" w:eastAsia="標楷體" w:hAnsi="Source Sans Pro" w:hint="eastAsia"/>
          <w:sz w:val="28"/>
          <w:szCs w:val="28"/>
        </w:rPr>
        <w:t>O</w:t>
      </w:r>
      <w:r w:rsidR="00C20E1F">
        <w:rPr>
          <w:rFonts w:ascii="Source Sans Pro" w:eastAsia="標楷體" w:hAnsi="Source Sans Pro"/>
          <w:sz w:val="28"/>
          <w:szCs w:val="28"/>
        </w:rPr>
        <w:t>TC</w:t>
      </w:r>
      <w:r w:rsidR="00C20E1F">
        <w:rPr>
          <w:rFonts w:ascii="Source Sans Pro" w:eastAsia="標楷體" w:hAnsi="Source Sans Pro" w:hint="eastAsia"/>
          <w:sz w:val="28"/>
          <w:szCs w:val="28"/>
        </w:rPr>
        <w:t>報酬指數上漲</w:t>
      </w:r>
      <w:r w:rsidR="00C20E1F">
        <w:rPr>
          <w:rFonts w:ascii="Source Sans Pro" w:eastAsia="標楷體" w:hAnsi="Source Sans Pro" w:hint="eastAsia"/>
          <w:sz w:val="28"/>
          <w:szCs w:val="28"/>
        </w:rPr>
        <w:t>32.65%</w:t>
      </w:r>
      <w:r w:rsidR="00C20E1F">
        <w:rPr>
          <w:rFonts w:ascii="Source Sans Pro" w:eastAsia="標楷體" w:hAnsi="Source Sans Pro" w:hint="eastAsia"/>
          <w:sz w:val="28"/>
          <w:szCs w:val="28"/>
        </w:rPr>
        <w:t>，電子報酬指數上漲</w:t>
      </w:r>
      <w:r w:rsidR="00C20E1F">
        <w:rPr>
          <w:rFonts w:ascii="Source Sans Pro" w:eastAsia="標楷體" w:hAnsi="Source Sans Pro" w:hint="eastAsia"/>
          <w:sz w:val="28"/>
          <w:szCs w:val="28"/>
        </w:rPr>
        <w:t>24.84%</w:t>
      </w:r>
      <w:r w:rsidR="000344C5">
        <w:rPr>
          <w:rFonts w:ascii="Source Sans Pro" w:eastAsia="標楷體" w:hAnsi="Source Sans Pro" w:hint="eastAsia"/>
          <w:sz w:val="28"/>
          <w:szCs w:val="28"/>
        </w:rPr>
        <w:t>，台股報酬率在全球股市名列前茅</w:t>
      </w:r>
      <w:r w:rsidR="000344C5"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36B9A9CE" w14:textId="77777777" w:rsidR="000344C5" w:rsidRDefault="000344C5" w:rsidP="00805E90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4A841B84" w14:textId="534D67B7" w:rsidR="000344C5" w:rsidRDefault="000344C5" w:rsidP="00805E90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lastRenderedPageBreak/>
        <w:t xml:space="preserve">　　基金報酬率主要受目標市場報酬率影響，</w:t>
      </w:r>
      <w:r>
        <w:rPr>
          <w:rFonts w:ascii="Source Sans Pro" w:eastAsia="標楷體" w:hAnsi="Source Sans Pro" w:hint="eastAsia"/>
          <w:sz w:val="28"/>
          <w:szCs w:val="28"/>
        </w:rPr>
        <w:t>2</w:t>
      </w:r>
      <w:r>
        <w:rPr>
          <w:rFonts w:ascii="Source Sans Pro" w:eastAsia="標楷體" w:hAnsi="Source Sans Pro"/>
          <w:sz w:val="28"/>
          <w:szCs w:val="28"/>
        </w:rPr>
        <w:t>021</w:t>
      </w:r>
      <w:r>
        <w:rPr>
          <w:rFonts w:ascii="Source Sans Pro" w:eastAsia="標楷體" w:hAnsi="Source Sans Pro" w:hint="eastAsia"/>
          <w:sz w:val="28"/>
          <w:szCs w:val="28"/>
        </w:rPr>
        <w:t>年成熟市場股票基金表現優於新興市場股票基金，債券型基金報酬大多為負，平衡型及多重資產型則多為正報酬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前述</w:t>
      </w:r>
      <w:r>
        <w:rPr>
          <w:rFonts w:ascii="Source Sans Pro" w:eastAsia="標楷體" w:hAnsi="Source Sans Pro" w:hint="eastAsia"/>
          <w:sz w:val="28"/>
          <w:szCs w:val="28"/>
        </w:rPr>
        <w:t>2021</w:t>
      </w:r>
      <w:r>
        <w:rPr>
          <w:rFonts w:ascii="Source Sans Pro" w:eastAsia="標楷體" w:hAnsi="Source Sans Pro" w:hint="eastAsia"/>
          <w:sz w:val="28"/>
          <w:szCs w:val="28"/>
        </w:rPr>
        <w:t>年台股強，台股基金更強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185</w:t>
      </w:r>
      <w:r>
        <w:rPr>
          <w:rFonts w:ascii="Source Sans Pro" w:eastAsia="標楷體" w:hAnsi="Source Sans Pro" w:hint="eastAsia"/>
          <w:sz w:val="28"/>
          <w:szCs w:val="28"/>
        </w:rPr>
        <w:t>檔台股基金平均年報酬</w:t>
      </w:r>
      <w:r w:rsidR="00A812F1">
        <w:rPr>
          <w:rFonts w:ascii="Source Sans Pro" w:eastAsia="標楷體" w:hAnsi="Source Sans Pro" w:hint="eastAsia"/>
          <w:sz w:val="28"/>
          <w:szCs w:val="28"/>
        </w:rPr>
        <w:t>率</w:t>
      </w:r>
      <w:r>
        <w:rPr>
          <w:rFonts w:ascii="Source Sans Pro" w:eastAsia="標楷體" w:hAnsi="Source Sans Pro" w:hint="eastAsia"/>
          <w:sz w:val="28"/>
          <w:szCs w:val="28"/>
        </w:rPr>
        <w:t>40.02%</w:t>
      </w:r>
      <w:r>
        <w:rPr>
          <w:rFonts w:ascii="Source Sans Pro" w:eastAsia="標楷體" w:hAnsi="Source Sans Pro" w:hint="eastAsia"/>
          <w:sz w:val="28"/>
          <w:szCs w:val="28"/>
        </w:rPr>
        <w:t>，超過大盤達</w:t>
      </w:r>
      <w:r>
        <w:rPr>
          <w:rFonts w:ascii="Source Sans Pro" w:eastAsia="標楷體" w:hAnsi="Source Sans Pro" w:hint="eastAsia"/>
          <w:sz w:val="28"/>
          <w:szCs w:val="28"/>
        </w:rPr>
        <w:t>12.96%</w:t>
      </w:r>
      <w:r>
        <w:rPr>
          <w:rFonts w:ascii="Source Sans Pro" w:eastAsia="標楷體" w:hAnsi="Source Sans Pro" w:hint="eastAsia"/>
          <w:sz w:val="28"/>
          <w:szCs w:val="28"/>
        </w:rPr>
        <w:t>，十分驚人，筆者從事基金評比二十多年，這應該是台股基金打敗大盤差距最大的一年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141</w:t>
      </w:r>
      <w:r>
        <w:rPr>
          <w:rFonts w:ascii="Source Sans Pro" w:eastAsia="標楷體" w:hAnsi="Source Sans Pro" w:hint="eastAsia"/>
          <w:sz w:val="28"/>
          <w:szCs w:val="28"/>
        </w:rPr>
        <w:t>檔台股基金超越大盤，比例達</w:t>
      </w:r>
      <w:r>
        <w:rPr>
          <w:rFonts w:ascii="Source Sans Pro" w:eastAsia="標楷體" w:hAnsi="Source Sans Pro" w:hint="eastAsia"/>
          <w:sz w:val="28"/>
          <w:szCs w:val="28"/>
        </w:rPr>
        <w:t>76.22%</w:t>
      </w:r>
      <w:r>
        <w:rPr>
          <w:rFonts w:ascii="Source Sans Pro" w:eastAsia="標楷體" w:hAnsi="Source Sans Pro" w:hint="eastAsia"/>
          <w:sz w:val="28"/>
          <w:szCs w:val="28"/>
        </w:rPr>
        <w:t>，前三名新光創新科技（</w:t>
      </w:r>
      <w:r>
        <w:rPr>
          <w:rFonts w:ascii="Source Sans Pro" w:eastAsia="標楷體" w:hAnsi="Source Sans Pro" w:hint="eastAsia"/>
          <w:sz w:val="28"/>
          <w:szCs w:val="28"/>
        </w:rPr>
        <w:t>87.80%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統一奔騰（</w:t>
      </w:r>
      <w:r>
        <w:rPr>
          <w:rFonts w:ascii="Source Sans Pro" w:eastAsia="標楷體" w:hAnsi="Source Sans Pro" w:hint="eastAsia"/>
          <w:sz w:val="28"/>
          <w:szCs w:val="28"/>
        </w:rPr>
        <w:t>86.55%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統一黑馬（</w:t>
      </w:r>
      <w:r>
        <w:rPr>
          <w:rFonts w:ascii="Source Sans Pro" w:eastAsia="標楷體" w:hAnsi="Source Sans Pro" w:hint="eastAsia"/>
          <w:sz w:val="28"/>
          <w:szCs w:val="28"/>
        </w:rPr>
        <w:t>82.16%</w:t>
      </w:r>
      <w:r>
        <w:rPr>
          <w:rFonts w:ascii="Source Sans Pro" w:eastAsia="標楷體" w:hAnsi="Source Sans Pro" w:hint="eastAsia"/>
          <w:sz w:val="28"/>
          <w:szCs w:val="28"/>
        </w:rPr>
        <w:t>）漲幅皆超過八成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各子類平均報酬依序為中概股型（</w:t>
      </w:r>
      <w:r>
        <w:rPr>
          <w:rFonts w:ascii="Source Sans Pro" w:eastAsia="標楷體" w:hAnsi="Source Sans Pro" w:hint="eastAsia"/>
          <w:sz w:val="28"/>
          <w:szCs w:val="28"/>
        </w:rPr>
        <w:t>53.29%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科技類（</w:t>
      </w:r>
      <w:r>
        <w:rPr>
          <w:rFonts w:ascii="Source Sans Pro" w:eastAsia="標楷體" w:hAnsi="Source Sans Pro" w:hint="eastAsia"/>
          <w:sz w:val="28"/>
          <w:szCs w:val="28"/>
        </w:rPr>
        <w:t>47.63%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上櫃股票型（</w:t>
      </w:r>
      <w:r>
        <w:rPr>
          <w:rFonts w:ascii="Source Sans Pro" w:eastAsia="標楷體" w:hAnsi="Source Sans Pro" w:hint="eastAsia"/>
          <w:sz w:val="28"/>
          <w:szCs w:val="28"/>
        </w:rPr>
        <w:t>45.49%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中小型（</w:t>
      </w:r>
      <w:r>
        <w:rPr>
          <w:rFonts w:ascii="Source Sans Pro" w:eastAsia="標楷體" w:hAnsi="Source Sans Pro" w:hint="eastAsia"/>
          <w:sz w:val="28"/>
          <w:szCs w:val="28"/>
        </w:rPr>
        <w:t>44.03%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一般股票型（</w:t>
      </w:r>
      <w:r>
        <w:rPr>
          <w:rFonts w:ascii="Source Sans Pro" w:eastAsia="標楷體" w:hAnsi="Source Sans Pro" w:hint="eastAsia"/>
          <w:sz w:val="28"/>
          <w:szCs w:val="28"/>
        </w:rPr>
        <w:t>42.69%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價值型（</w:t>
      </w:r>
      <w:r>
        <w:rPr>
          <w:rFonts w:ascii="Source Sans Pro" w:eastAsia="標楷體" w:hAnsi="Source Sans Pro" w:hint="eastAsia"/>
          <w:sz w:val="28"/>
          <w:szCs w:val="28"/>
        </w:rPr>
        <w:t>28.94%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一般型</w:t>
      </w:r>
      <w:r>
        <w:rPr>
          <w:rFonts w:ascii="Source Sans Pro" w:eastAsia="標楷體" w:hAnsi="Source Sans Pro" w:hint="eastAsia"/>
          <w:sz w:val="28"/>
          <w:szCs w:val="28"/>
        </w:rPr>
        <w:t>E</w:t>
      </w:r>
      <w:r>
        <w:rPr>
          <w:rFonts w:ascii="Source Sans Pro" w:eastAsia="標楷體" w:hAnsi="Source Sans Pro"/>
          <w:sz w:val="28"/>
          <w:szCs w:val="28"/>
        </w:rPr>
        <w:t>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2</w:t>
      </w:r>
      <w:r>
        <w:rPr>
          <w:rFonts w:ascii="Source Sans Pro" w:eastAsia="標楷體" w:hAnsi="Source Sans Pro"/>
          <w:sz w:val="28"/>
          <w:szCs w:val="28"/>
        </w:rPr>
        <w:t>7.78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指數型</w:t>
      </w:r>
      <w:r>
        <w:rPr>
          <w:rFonts w:ascii="Source Sans Pro" w:eastAsia="標楷體" w:hAnsi="Source Sans Pro" w:hint="eastAsia"/>
          <w:sz w:val="28"/>
          <w:szCs w:val="28"/>
        </w:rPr>
        <w:t>(</w:t>
      </w:r>
      <w:r>
        <w:rPr>
          <w:rFonts w:ascii="Source Sans Pro" w:eastAsia="標楷體" w:hAnsi="Source Sans Pro" w:hint="eastAsia"/>
          <w:sz w:val="28"/>
          <w:szCs w:val="28"/>
        </w:rPr>
        <w:t>非</w:t>
      </w:r>
      <w:r>
        <w:rPr>
          <w:rFonts w:ascii="Source Sans Pro" w:eastAsia="標楷體" w:hAnsi="Source Sans Pro" w:hint="eastAsia"/>
          <w:sz w:val="28"/>
          <w:szCs w:val="28"/>
        </w:rPr>
        <w:t>ETF)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2</w:t>
      </w:r>
      <w:r>
        <w:rPr>
          <w:rFonts w:ascii="Source Sans Pro" w:eastAsia="標楷體" w:hAnsi="Source Sans Pro"/>
          <w:sz w:val="28"/>
          <w:szCs w:val="28"/>
        </w:rPr>
        <w:t>6.50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台股在</w:t>
      </w:r>
      <w:r>
        <w:rPr>
          <w:rFonts w:ascii="Source Sans Pro" w:eastAsia="標楷體" w:hAnsi="Source Sans Pro" w:hint="eastAsia"/>
          <w:sz w:val="28"/>
          <w:szCs w:val="28"/>
        </w:rPr>
        <w:t>2021</w:t>
      </w:r>
      <w:r>
        <w:rPr>
          <w:rFonts w:ascii="Source Sans Pro" w:eastAsia="標楷體" w:hAnsi="Source Sans Pro" w:hint="eastAsia"/>
          <w:sz w:val="28"/>
          <w:szCs w:val="28"/>
        </w:rPr>
        <w:t>年類</w:t>
      </w:r>
      <w:r w:rsidR="00A812F1">
        <w:rPr>
          <w:rFonts w:ascii="Source Sans Pro" w:eastAsia="標楷體" w:hAnsi="Source Sans Pro" w:hint="eastAsia"/>
          <w:sz w:val="28"/>
          <w:szCs w:val="28"/>
        </w:rPr>
        <w:t>股輪動迅速，選股難度高，但過去</w:t>
      </w:r>
      <w:r w:rsidR="00A812F1">
        <w:rPr>
          <w:rFonts w:ascii="Source Sans Pro" w:eastAsia="標楷體" w:hAnsi="Source Sans Pro" w:hint="eastAsia"/>
          <w:sz w:val="28"/>
          <w:szCs w:val="28"/>
        </w:rPr>
        <w:t>12</w:t>
      </w:r>
      <w:r w:rsidR="00A812F1">
        <w:rPr>
          <w:rFonts w:ascii="Source Sans Pro" w:eastAsia="標楷體" w:hAnsi="Source Sans Pro" w:hint="eastAsia"/>
          <w:sz w:val="28"/>
          <w:szCs w:val="28"/>
        </w:rPr>
        <w:t>個月台股基金平均</w:t>
      </w:r>
      <w:r w:rsidR="00A812F1">
        <w:rPr>
          <w:rFonts w:ascii="Source Sans Pro" w:eastAsia="標楷體" w:hAnsi="Source Sans Pro" w:hint="eastAsia"/>
          <w:sz w:val="28"/>
          <w:szCs w:val="28"/>
        </w:rPr>
        <w:t>J</w:t>
      </w:r>
      <w:r w:rsidR="00A812F1">
        <w:rPr>
          <w:rFonts w:ascii="Source Sans Pro" w:eastAsia="標楷體" w:hAnsi="Source Sans Pro"/>
          <w:sz w:val="28"/>
          <w:szCs w:val="28"/>
        </w:rPr>
        <w:t>ensen</w:t>
      </w:r>
      <w:r w:rsidR="00A812F1">
        <w:rPr>
          <w:rFonts w:ascii="Source Sans Pro" w:eastAsia="標楷體" w:hAnsi="Source Sans Pro" w:hint="eastAsia"/>
          <w:sz w:val="28"/>
          <w:szCs w:val="28"/>
        </w:rPr>
        <w:t>指標（或稱</w:t>
      </w:r>
      <w:r w:rsidR="00A812F1">
        <w:rPr>
          <w:rFonts w:ascii="細明體" w:eastAsia="細明體" w:hAnsi="細明體" w:hint="eastAsia"/>
          <w:sz w:val="28"/>
          <w:szCs w:val="28"/>
        </w:rPr>
        <w:t>α</w:t>
      </w:r>
      <w:r w:rsidR="00B16BA3">
        <w:rPr>
          <w:rFonts w:ascii="Source Sans Pro" w:eastAsia="標楷體" w:hAnsi="Source Sans Pro" w:hint="eastAsia"/>
          <w:sz w:val="28"/>
          <w:szCs w:val="28"/>
        </w:rPr>
        <w:t>，為選股帶來的超額報酬</w:t>
      </w:r>
      <w:r w:rsidR="00A812F1">
        <w:rPr>
          <w:rFonts w:ascii="Source Sans Pro" w:eastAsia="標楷體" w:hAnsi="Source Sans Pro" w:hint="eastAsia"/>
          <w:sz w:val="28"/>
          <w:szCs w:val="28"/>
        </w:rPr>
        <w:t>）</w:t>
      </w:r>
      <w:r w:rsidR="00B16BA3">
        <w:rPr>
          <w:rFonts w:ascii="Source Sans Pro" w:eastAsia="標楷體" w:hAnsi="Source Sans Pro" w:hint="eastAsia"/>
          <w:sz w:val="28"/>
          <w:szCs w:val="28"/>
        </w:rPr>
        <w:t>高達</w:t>
      </w:r>
      <w:r w:rsidR="00B16BA3">
        <w:rPr>
          <w:rFonts w:ascii="Source Sans Pro" w:eastAsia="標楷體" w:hAnsi="Source Sans Pro" w:hint="eastAsia"/>
          <w:sz w:val="28"/>
          <w:szCs w:val="28"/>
        </w:rPr>
        <w:t>0.6735%</w:t>
      </w:r>
      <w:r w:rsidR="00B16BA3">
        <w:rPr>
          <w:rFonts w:ascii="Source Sans Pro" w:eastAsia="標楷體" w:hAnsi="Source Sans Pro" w:hint="eastAsia"/>
          <w:sz w:val="28"/>
          <w:szCs w:val="28"/>
        </w:rPr>
        <w:t>，換算年化選股超額報酬達</w:t>
      </w:r>
      <w:r w:rsidR="00B16BA3">
        <w:rPr>
          <w:rFonts w:ascii="Source Sans Pro" w:eastAsia="標楷體" w:hAnsi="Source Sans Pro" w:hint="eastAsia"/>
          <w:sz w:val="28"/>
          <w:szCs w:val="28"/>
        </w:rPr>
        <w:t>8%</w:t>
      </w:r>
      <w:r w:rsidR="00B16BA3">
        <w:rPr>
          <w:rFonts w:ascii="Source Sans Pro" w:eastAsia="標楷體" w:hAnsi="Source Sans Pro" w:hint="eastAsia"/>
          <w:sz w:val="28"/>
          <w:szCs w:val="28"/>
        </w:rPr>
        <w:t>之多</w:t>
      </w:r>
      <w:r w:rsidR="00B16BA3" w:rsidRPr="00C339DF">
        <w:rPr>
          <w:rFonts w:ascii="Source Sans Pro" w:eastAsia="標楷體" w:hAnsi="Source Sans Pro"/>
          <w:sz w:val="28"/>
          <w:szCs w:val="28"/>
        </w:rPr>
        <w:t>。</w:t>
      </w:r>
      <w:r w:rsidR="00B16BA3">
        <w:rPr>
          <w:rFonts w:ascii="Source Sans Pro" w:eastAsia="標楷體" w:hAnsi="Source Sans Pro" w:hint="eastAsia"/>
          <w:sz w:val="28"/>
          <w:szCs w:val="28"/>
        </w:rPr>
        <w:t>除了</w:t>
      </w:r>
      <w:r w:rsidR="00B16BA3">
        <w:rPr>
          <w:rFonts w:ascii="Source Sans Pro" w:eastAsia="標楷體" w:hAnsi="Source Sans Pro" w:hint="eastAsia"/>
          <w:sz w:val="28"/>
          <w:szCs w:val="28"/>
        </w:rPr>
        <w:t>1</w:t>
      </w:r>
      <w:r w:rsidR="00B16BA3">
        <w:rPr>
          <w:rFonts w:ascii="Source Sans Pro" w:eastAsia="標楷體" w:hAnsi="Source Sans Pro" w:hint="eastAsia"/>
          <w:sz w:val="28"/>
          <w:szCs w:val="28"/>
        </w:rPr>
        <w:t>年報酬十分亮眼，把時間拉長，台股基金</w:t>
      </w:r>
      <w:r w:rsidR="00B16BA3">
        <w:rPr>
          <w:rFonts w:ascii="Source Sans Pro" w:eastAsia="標楷體" w:hAnsi="Source Sans Pro" w:hint="eastAsia"/>
          <w:sz w:val="28"/>
          <w:szCs w:val="28"/>
        </w:rPr>
        <w:t>2</w:t>
      </w:r>
      <w:r w:rsidR="00B16BA3">
        <w:rPr>
          <w:rFonts w:ascii="Source Sans Pro" w:eastAsia="標楷體" w:hAnsi="Source Sans Pro" w:hint="eastAsia"/>
          <w:sz w:val="28"/>
          <w:szCs w:val="28"/>
        </w:rPr>
        <w:t>年平均報酬率</w:t>
      </w:r>
      <w:r w:rsidR="00B16BA3">
        <w:rPr>
          <w:rFonts w:ascii="Source Sans Pro" w:eastAsia="標楷體" w:hAnsi="Source Sans Pro" w:hint="eastAsia"/>
          <w:sz w:val="28"/>
          <w:szCs w:val="28"/>
        </w:rPr>
        <w:t>77.44%</w:t>
      </w:r>
      <w:r w:rsidR="00B16BA3">
        <w:rPr>
          <w:rFonts w:ascii="Source Sans Pro" w:eastAsia="標楷體" w:hAnsi="Source Sans Pro" w:hint="eastAsia"/>
          <w:sz w:val="28"/>
          <w:szCs w:val="28"/>
        </w:rPr>
        <w:t>（大盤</w:t>
      </w:r>
      <w:r w:rsidR="00B16BA3">
        <w:rPr>
          <w:rFonts w:ascii="Source Sans Pro" w:eastAsia="標楷體" w:hAnsi="Source Sans Pro" w:hint="eastAsia"/>
          <w:sz w:val="28"/>
          <w:szCs w:val="28"/>
        </w:rPr>
        <w:t>61.52%</w:t>
      </w:r>
      <w:r w:rsidR="00B16BA3">
        <w:rPr>
          <w:rFonts w:ascii="Source Sans Pro" w:eastAsia="標楷體" w:hAnsi="Source Sans Pro" w:hint="eastAsia"/>
          <w:sz w:val="28"/>
          <w:szCs w:val="28"/>
        </w:rPr>
        <w:t>）</w:t>
      </w:r>
      <w:r w:rsidR="00B16BA3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B16BA3">
        <w:rPr>
          <w:rFonts w:ascii="Source Sans Pro" w:eastAsia="標楷體" w:hAnsi="Source Sans Pro" w:hint="eastAsia"/>
          <w:sz w:val="28"/>
          <w:szCs w:val="28"/>
        </w:rPr>
        <w:t>3</w:t>
      </w:r>
      <w:r w:rsidR="00B16BA3">
        <w:rPr>
          <w:rFonts w:ascii="Source Sans Pro" w:eastAsia="標楷體" w:hAnsi="Source Sans Pro" w:hint="eastAsia"/>
          <w:sz w:val="28"/>
          <w:szCs w:val="28"/>
        </w:rPr>
        <w:t>年報酬率</w:t>
      </w:r>
      <w:r w:rsidR="00B16BA3">
        <w:rPr>
          <w:rFonts w:ascii="Source Sans Pro" w:eastAsia="標楷體" w:hAnsi="Source Sans Pro" w:hint="eastAsia"/>
          <w:sz w:val="28"/>
          <w:szCs w:val="28"/>
        </w:rPr>
        <w:t>140.75%</w:t>
      </w:r>
      <w:r w:rsidR="00B16BA3">
        <w:rPr>
          <w:rFonts w:ascii="Source Sans Pro" w:eastAsia="標楷體" w:hAnsi="Source Sans Pro" w:hint="eastAsia"/>
          <w:sz w:val="28"/>
          <w:szCs w:val="28"/>
        </w:rPr>
        <w:t>（大盤</w:t>
      </w:r>
      <w:r w:rsidR="00B16BA3">
        <w:rPr>
          <w:rFonts w:ascii="Source Sans Pro" w:eastAsia="標楷體" w:hAnsi="Source Sans Pro" w:hint="eastAsia"/>
          <w:sz w:val="28"/>
          <w:szCs w:val="28"/>
        </w:rPr>
        <w:t>108.24%</w:t>
      </w:r>
      <w:r w:rsidR="00B16BA3">
        <w:rPr>
          <w:rFonts w:ascii="Source Sans Pro" w:eastAsia="標楷體" w:hAnsi="Source Sans Pro" w:hint="eastAsia"/>
          <w:sz w:val="28"/>
          <w:szCs w:val="28"/>
        </w:rPr>
        <w:t>）</w:t>
      </w:r>
      <w:r w:rsidR="00B16BA3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B16BA3">
        <w:rPr>
          <w:rFonts w:ascii="Source Sans Pro" w:eastAsia="標楷體" w:hAnsi="Source Sans Pro" w:hint="eastAsia"/>
          <w:sz w:val="28"/>
          <w:szCs w:val="28"/>
        </w:rPr>
        <w:t>5</w:t>
      </w:r>
      <w:r w:rsidR="00B16BA3">
        <w:rPr>
          <w:rFonts w:ascii="Source Sans Pro" w:eastAsia="標楷體" w:hAnsi="Source Sans Pro" w:hint="eastAsia"/>
          <w:sz w:val="28"/>
          <w:szCs w:val="28"/>
        </w:rPr>
        <w:t>年報酬率</w:t>
      </w:r>
      <w:r w:rsidR="00B16BA3">
        <w:rPr>
          <w:rFonts w:ascii="Source Sans Pro" w:eastAsia="標楷體" w:hAnsi="Source Sans Pro" w:hint="eastAsia"/>
          <w:sz w:val="28"/>
          <w:szCs w:val="28"/>
        </w:rPr>
        <w:t>175.36%</w:t>
      </w:r>
      <w:r w:rsidR="00B16BA3">
        <w:rPr>
          <w:rFonts w:ascii="Source Sans Pro" w:eastAsia="標楷體" w:hAnsi="Source Sans Pro" w:hint="eastAsia"/>
          <w:sz w:val="28"/>
          <w:szCs w:val="28"/>
        </w:rPr>
        <w:t>（大盤</w:t>
      </w:r>
      <w:r w:rsidR="00B16BA3">
        <w:rPr>
          <w:rFonts w:ascii="Source Sans Pro" w:eastAsia="標楷體" w:hAnsi="Source Sans Pro" w:hint="eastAsia"/>
          <w:sz w:val="28"/>
          <w:szCs w:val="28"/>
        </w:rPr>
        <w:t>136.88%</w:t>
      </w:r>
      <w:r w:rsidR="00B16BA3">
        <w:rPr>
          <w:rFonts w:ascii="Source Sans Pro" w:eastAsia="標楷體" w:hAnsi="Source Sans Pro" w:hint="eastAsia"/>
          <w:sz w:val="28"/>
          <w:szCs w:val="28"/>
        </w:rPr>
        <w:t>）</w:t>
      </w:r>
      <w:r w:rsidR="00B16BA3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B16BA3">
        <w:rPr>
          <w:rFonts w:ascii="Source Sans Pro" w:eastAsia="標楷體" w:hAnsi="Source Sans Pro" w:hint="eastAsia"/>
          <w:sz w:val="28"/>
          <w:szCs w:val="28"/>
        </w:rPr>
        <w:t>10</w:t>
      </w:r>
      <w:r w:rsidR="00B16BA3">
        <w:rPr>
          <w:rFonts w:ascii="Source Sans Pro" w:eastAsia="標楷體" w:hAnsi="Source Sans Pro" w:hint="eastAsia"/>
          <w:sz w:val="28"/>
          <w:szCs w:val="28"/>
        </w:rPr>
        <w:t>年報酬率</w:t>
      </w:r>
      <w:r w:rsidR="00B16BA3">
        <w:rPr>
          <w:rFonts w:ascii="Source Sans Pro" w:eastAsia="標楷體" w:hAnsi="Source Sans Pro" w:hint="eastAsia"/>
          <w:sz w:val="28"/>
          <w:szCs w:val="28"/>
        </w:rPr>
        <w:t>337.12%</w:t>
      </w:r>
      <w:r w:rsidR="00B16BA3">
        <w:rPr>
          <w:rFonts w:ascii="Source Sans Pro" w:eastAsia="標楷體" w:hAnsi="Source Sans Pro" w:hint="eastAsia"/>
          <w:sz w:val="28"/>
          <w:szCs w:val="28"/>
        </w:rPr>
        <w:t>（大盤</w:t>
      </w:r>
      <w:r w:rsidR="00B16BA3">
        <w:rPr>
          <w:rFonts w:ascii="Source Sans Pro" w:eastAsia="標楷體" w:hAnsi="Source Sans Pro" w:hint="eastAsia"/>
          <w:sz w:val="28"/>
          <w:szCs w:val="28"/>
        </w:rPr>
        <w:t>269.37%</w:t>
      </w:r>
      <w:r w:rsidR="00B16BA3">
        <w:rPr>
          <w:rFonts w:ascii="Source Sans Pro" w:eastAsia="標楷體" w:hAnsi="Source Sans Pro" w:hint="eastAsia"/>
          <w:sz w:val="28"/>
          <w:szCs w:val="28"/>
        </w:rPr>
        <w:t>）皆大幅超越指數，充分展現主動選股的價值</w:t>
      </w:r>
      <w:r w:rsidR="00B16BA3"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5B90C879" w14:textId="5C67A07F" w:rsidR="00B16BA3" w:rsidRDefault="00B16BA3" w:rsidP="00805E90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0E85207A" w14:textId="01996914" w:rsidR="00B16BA3" w:rsidRDefault="00B16BA3" w:rsidP="00805E90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lastRenderedPageBreak/>
        <w:t xml:space="preserve">　　</w:t>
      </w:r>
      <w:r>
        <w:rPr>
          <w:rFonts w:ascii="Source Sans Pro" w:eastAsia="標楷體" w:hAnsi="Source Sans Pro" w:hint="eastAsia"/>
          <w:sz w:val="28"/>
          <w:szCs w:val="28"/>
        </w:rPr>
        <w:t>561</w:t>
      </w:r>
      <w:r>
        <w:rPr>
          <w:rFonts w:ascii="Source Sans Pro" w:eastAsia="標楷體" w:hAnsi="Source Sans Pro" w:hint="eastAsia"/>
          <w:sz w:val="28"/>
          <w:szCs w:val="28"/>
        </w:rPr>
        <w:t>檔跨國投資股票型基金</w:t>
      </w:r>
      <w:r>
        <w:rPr>
          <w:rFonts w:ascii="Source Sans Pro" w:eastAsia="標楷體" w:hAnsi="Source Sans Pro" w:hint="eastAsia"/>
          <w:sz w:val="28"/>
          <w:szCs w:val="28"/>
        </w:rPr>
        <w:t>2021</w:t>
      </w:r>
      <w:r>
        <w:rPr>
          <w:rFonts w:ascii="Source Sans Pro" w:eastAsia="標楷體" w:hAnsi="Source Sans Pro" w:hint="eastAsia"/>
          <w:sz w:val="28"/>
          <w:szCs w:val="28"/>
        </w:rPr>
        <w:t>年平均報酬率只有</w:t>
      </w:r>
      <w:r>
        <w:rPr>
          <w:rFonts w:ascii="Source Sans Pro" w:eastAsia="標楷體" w:hAnsi="Source Sans Pro" w:hint="eastAsia"/>
          <w:sz w:val="28"/>
          <w:szCs w:val="28"/>
        </w:rPr>
        <w:t>4.30%</w:t>
      </w:r>
      <w:r>
        <w:rPr>
          <w:rFonts w:ascii="Source Sans Pro" w:eastAsia="標楷體" w:hAnsi="Source Sans Pro" w:hint="eastAsia"/>
          <w:sz w:val="28"/>
          <w:szCs w:val="28"/>
        </w:rPr>
        <w:t>，不但遠遜於台股基金，也與</w:t>
      </w:r>
      <w:r>
        <w:rPr>
          <w:rFonts w:ascii="Source Sans Pro" w:eastAsia="標楷體" w:hAnsi="Source Sans Pro"/>
          <w:sz w:val="28"/>
          <w:szCs w:val="28"/>
        </w:rPr>
        <w:t>MSCI</w:t>
      </w:r>
      <w:r>
        <w:rPr>
          <w:rFonts w:ascii="Source Sans Pro" w:eastAsia="標楷體" w:hAnsi="Source Sans Pro" w:hint="eastAsia"/>
          <w:sz w:val="28"/>
          <w:szCs w:val="28"/>
        </w:rPr>
        <w:t>世界指數相去甚遠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拉低平均數的主要為亞洲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新興市場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中國相關基金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91</w:t>
      </w:r>
      <w:r>
        <w:rPr>
          <w:rFonts w:ascii="Source Sans Pro" w:eastAsia="標楷體" w:hAnsi="Source Sans Pro" w:hint="eastAsia"/>
          <w:sz w:val="28"/>
          <w:szCs w:val="28"/>
        </w:rPr>
        <w:t>檔大中華區股票基金（全部幣別</w:t>
      </w:r>
      <w:r>
        <w:rPr>
          <w:rFonts w:ascii="Source Sans Pro" w:eastAsia="標楷體" w:hAnsi="Source Sans Pro" w:hint="eastAsia"/>
          <w:sz w:val="28"/>
          <w:szCs w:val="28"/>
        </w:rPr>
        <w:t>-4.29%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-5.80%</w:t>
      </w:r>
      <w:r>
        <w:rPr>
          <w:rFonts w:ascii="Source Sans Pro" w:eastAsia="標楷體" w:hAnsi="Source Sans Pro" w:hint="eastAsia"/>
          <w:sz w:val="28"/>
          <w:szCs w:val="28"/>
        </w:rPr>
        <w:t>），</w:t>
      </w:r>
      <w:r>
        <w:rPr>
          <w:rFonts w:ascii="Source Sans Pro" w:eastAsia="標楷體" w:hAnsi="Source Sans Pro" w:hint="eastAsia"/>
          <w:sz w:val="28"/>
          <w:szCs w:val="28"/>
        </w:rPr>
        <w:t>3</w:t>
      </w:r>
      <w:r>
        <w:rPr>
          <w:rFonts w:ascii="Source Sans Pro" w:eastAsia="標楷體" w:hAnsi="Source Sans Pro"/>
          <w:sz w:val="28"/>
          <w:szCs w:val="28"/>
        </w:rPr>
        <w:t>8</w:t>
      </w:r>
      <w:r>
        <w:rPr>
          <w:rFonts w:ascii="Source Sans Pro" w:eastAsia="標楷體" w:hAnsi="Source Sans Pro" w:hint="eastAsia"/>
          <w:sz w:val="28"/>
          <w:szCs w:val="28"/>
        </w:rPr>
        <w:t>檔中國大陸</w:t>
      </w:r>
      <w:r>
        <w:rPr>
          <w:rFonts w:ascii="Source Sans Pro" w:eastAsia="標楷體" w:hAnsi="Source Sans Pro" w:hint="eastAsia"/>
          <w:sz w:val="28"/>
          <w:szCs w:val="28"/>
        </w:rPr>
        <w:t>A</w:t>
      </w:r>
      <w:r>
        <w:rPr>
          <w:rFonts w:ascii="Source Sans Pro" w:eastAsia="標楷體" w:hAnsi="Source Sans Pro" w:hint="eastAsia"/>
          <w:sz w:val="28"/>
          <w:szCs w:val="28"/>
        </w:rPr>
        <w:t>股基金（全部幣別</w:t>
      </w:r>
      <w:r>
        <w:rPr>
          <w:rFonts w:ascii="Source Sans Pro" w:eastAsia="標楷體" w:hAnsi="Source Sans Pro" w:hint="eastAsia"/>
          <w:sz w:val="28"/>
          <w:szCs w:val="28"/>
        </w:rPr>
        <w:t>-4.25%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-5.83%</w:t>
      </w:r>
      <w:r>
        <w:rPr>
          <w:rFonts w:ascii="Source Sans Pro" w:eastAsia="標楷體" w:hAnsi="Source Sans Pro" w:hint="eastAsia"/>
          <w:sz w:val="28"/>
          <w:szCs w:val="28"/>
        </w:rPr>
        <w:t>），</w:t>
      </w:r>
      <w:r>
        <w:rPr>
          <w:rFonts w:ascii="Source Sans Pro" w:eastAsia="標楷體" w:hAnsi="Source Sans Pro" w:hint="eastAsia"/>
          <w:sz w:val="28"/>
          <w:szCs w:val="28"/>
        </w:rPr>
        <w:t>1</w:t>
      </w:r>
      <w:r>
        <w:rPr>
          <w:rFonts w:ascii="Source Sans Pro" w:eastAsia="標楷體" w:hAnsi="Source Sans Pro"/>
          <w:sz w:val="28"/>
          <w:szCs w:val="28"/>
        </w:rPr>
        <w:t>3</w:t>
      </w:r>
      <w:r>
        <w:rPr>
          <w:rFonts w:ascii="Source Sans Pro" w:eastAsia="標楷體" w:hAnsi="Source Sans Pro" w:hint="eastAsia"/>
          <w:sz w:val="28"/>
          <w:szCs w:val="28"/>
        </w:rPr>
        <w:t>檔中國大陸一般型</w:t>
      </w:r>
      <w:r>
        <w:rPr>
          <w:rFonts w:ascii="Source Sans Pro" w:eastAsia="標楷體" w:hAnsi="Source Sans Pro" w:hint="eastAsia"/>
          <w:sz w:val="28"/>
          <w:szCs w:val="28"/>
        </w:rPr>
        <w:t>E</w:t>
      </w:r>
      <w:r>
        <w:rPr>
          <w:rFonts w:ascii="Source Sans Pro" w:eastAsia="標楷體" w:hAnsi="Source Sans Pro"/>
          <w:sz w:val="28"/>
          <w:szCs w:val="28"/>
        </w:rPr>
        <w:t>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</w:t>
      </w:r>
      <w:r>
        <w:rPr>
          <w:rFonts w:ascii="Source Sans Pro" w:eastAsia="標楷體" w:hAnsi="Source Sans Pro"/>
          <w:sz w:val="28"/>
          <w:szCs w:val="28"/>
        </w:rPr>
        <w:t>5.04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），</w:t>
      </w:r>
      <w:r>
        <w:rPr>
          <w:rFonts w:ascii="Source Sans Pro" w:eastAsia="標楷體" w:hAnsi="Source Sans Pro" w:hint="eastAsia"/>
          <w:sz w:val="28"/>
          <w:szCs w:val="28"/>
        </w:rPr>
        <w:t>7</w:t>
      </w:r>
      <w:r>
        <w:rPr>
          <w:rFonts w:ascii="Source Sans Pro" w:eastAsia="標楷體" w:hAnsi="Source Sans Pro" w:hint="eastAsia"/>
          <w:sz w:val="28"/>
          <w:szCs w:val="28"/>
        </w:rPr>
        <w:t>檔中國大陸指數型非</w:t>
      </w:r>
      <w:r>
        <w:rPr>
          <w:rFonts w:ascii="Source Sans Pro" w:eastAsia="標楷體" w:hAnsi="Source Sans Pro"/>
          <w:sz w:val="28"/>
          <w:szCs w:val="28"/>
        </w:rPr>
        <w:t>ETF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</w:t>
      </w:r>
      <w:r>
        <w:rPr>
          <w:rFonts w:ascii="Source Sans Pro" w:eastAsia="標楷體" w:hAnsi="Source Sans Pro"/>
          <w:sz w:val="28"/>
          <w:szCs w:val="28"/>
        </w:rPr>
        <w:t>9.33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），</w:t>
      </w:r>
      <w:r>
        <w:rPr>
          <w:rFonts w:ascii="Source Sans Pro" w:eastAsia="標楷體" w:hAnsi="Source Sans Pro" w:hint="eastAsia"/>
          <w:sz w:val="28"/>
          <w:szCs w:val="28"/>
        </w:rPr>
        <w:t>2</w:t>
      </w:r>
      <w:r>
        <w:rPr>
          <w:rFonts w:ascii="Source Sans Pro" w:eastAsia="標楷體" w:hAnsi="Source Sans Pro"/>
          <w:sz w:val="28"/>
          <w:szCs w:val="28"/>
        </w:rPr>
        <w:t>1</w:t>
      </w:r>
      <w:r>
        <w:rPr>
          <w:rFonts w:ascii="Source Sans Pro" w:eastAsia="標楷體" w:hAnsi="Source Sans Pro" w:hint="eastAsia"/>
          <w:sz w:val="28"/>
          <w:szCs w:val="28"/>
        </w:rPr>
        <w:t>檔新興市場股票基金（全部幣別</w:t>
      </w:r>
      <w:r>
        <w:rPr>
          <w:rFonts w:ascii="Source Sans Pro" w:eastAsia="標楷體" w:hAnsi="Source Sans Pro" w:hint="eastAsia"/>
          <w:sz w:val="28"/>
          <w:szCs w:val="28"/>
        </w:rPr>
        <w:t>0.49%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-2.14%</w:t>
      </w:r>
      <w:r>
        <w:rPr>
          <w:rFonts w:ascii="Source Sans Pro" w:eastAsia="標楷體" w:hAnsi="Source Sans Pro" w:hint="eastAsia"/>
          <w:sz w:val="28"/>
          <w:szCs w:val="28"/>
        </w:rPr>
        <w:t>），</w:t>
      </w:r>
      <w:r>
        <w:rPr>
          <w:rFonts w:ascii="Source Sans Pro" w:eastAsia="標楷體" w:hAnsi="Source Sans Pro" w:hint="eastAsia"/>
          <w:sz w:val="28"/>
          <w:szCs w:val="28"/>
        </w:rPr>
        <w:t>5</w:t>
      </w:r>
      <w:r>
        <w:rPr>
          <w:rFonts w:ascii="Source Sans Pro" w:eastAsia="標楷體" w:hAnsi="Source Sans Pro"/>
          <w:sz w:val="28"/>
          <w:szCs w:val="28"/>
        </w:rPr>
        <w:t>9</w:t>
      </w:r>
      <w:r>
        <w:rPr>
          <w:rFonts w:ascii="Source Sans Pro" w:eastAsia="標楷體" w:hAnsi="Source Sans Pro" w:hint="eastAsia"/>
          <w:sz w:val="28"/>
          <w:szCs w:val="28"/>
        </w:rPr>
        <w:t>檔亞洲股票基金（全部幣別</w:t>
      </w:r>
      <w:r>
        <w:rPr>
          <w:rFonts w:ascii="Source Sans Pro" w:eastAsia="標楷體" w:hAnsi="Source Sans Pro" w:hint="eastAsia"/>
          <w:sz w:val="28"/>
          <w:szCs w:val="28"/>
        </w:rPr>
        <w:t>1.75%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1.04%</w:t>
      </w:r>
      <w:r>
        <w:rPr>
          <w:rFonts w:ascii="Source Sans Pro" w:eastAsia="標楷體" w:hAnsi="Source Sans Pro" w:hint="eastAsia"/>
          <w:sz w:val="28"/>
          <w:szCs w:val="28"/>
        </w:rPr>
        <w:t>）皆表現不佳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報酬率較佳的子類有美國股票型（</w:t>
      </w:r>
      <w:r>
        <w:rPr>
          <w:rFonts w:ascii="Source Sans Pro" w:eastAsia="標楷體" w:hAnsi="Source Sans Pro" w:hint="eastAsia"/>
          <w:sz w:val="28"/>
          <w:szCs w:val="28"/>
        </w:rPr>
        <w:t>17.94%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其他單一國家股票型（全部幣別</w:t>
      </w:r>
      <w:r>
        <w:rPr>
          <w:rFonts w:ascii="Source Sans Pro" w:eastAsia="標楷體" w:hAnsi="Source Sans Pro" w:hint="eastAsia"/>
          <w:sz w:val="28"/>
          <w:szCs w:val="28"/>
        </w:rPr>
        <w:t>18.43%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11.74%</w:t>
      </w:r>
      <w:r>
        <w:rPr>
          <w:rFonts w:ascii="Source Sans Pro" w:eastAsia="標楷體" w:hAnsi="Source Sans Pro" w:hint="eastAsia"/>
          <w:sz w:val="28"/>
          <w:szCs w:val="28"/>
        </w:rPr>
        <w:t>，以投資越南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印度者較佳），歐洲股票型（</w:t>
      </w:r>
      <w:r>
        <w:rPr>
          <w:rFonts w:ascii="Source Sans Pro" w:eastAsia="標楷體" w:hAnsi="Source Sans Pro" w:hint="eastAsia"/>
          <w:sz w:val="28"/>
          <w:szCs w:val="28"/>
        </w:rPr>
        <w:t>11.61%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全球一般股票型（全部幣別</w:t>
      </w:r>
      <w:r>
        <w:rPr>
          <w:rFonts w:ascii="Source Sans Pro" w:eastAsia="標楷體" w:hAnsi="Source Sans Pro" w:hint="eastAsia"/>
          <w:sz w:val="28"/>
          <w:szCs w:val="28"/>
        </w:rPr>
        <w:t>10.19%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8.37%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="00CB70BB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CB70BB">
        <w:rPr>
          <w:rFonts w:ascii="Source Sans Pro" w:eastAsia="標楷體" w:hAnsi="Source Sans Pro" w:hint="eastAsia"/>
          <w:sz w:val="28"/>
          <w:szCs w:val="28"/>
        </w:rPr>
        <w:t>全球資源型（全部幣別</w:t>
      </w:r>
      <w:r w:rsidR="00CB70BB">
        <w:rPr>
          <w:rFonts w:ascii="Source Sans Pro" w:eastAsia="標楷體" w:hAnsi="Source Sans Pro" w:hint="eastAsia"/>
          <w:sz w:val="28"/>
          <w:szCs w:val="28"/>
        </w:rPr>
        <w:t>9.34%</w:t>
      </w:r>
      <w:r w:rsidR="00CB70BB">
        <w:rPr>
          <w:rFonts w:ascii="Source Sans Pro" w:eastAsia="標楷體" w:hAnsi="Source Sans Pro" w:hint="eastAsia"/>
          <w:sz w:val="28"/>
          <w:szCs w:val="28"/>
        </w:rPr>
        <w:t>，台幣</w:t>
      </w:r>
      <w:r w:rsidR="00CB70BB">
        <w:rPr>
          <w:rFonts w:ascii="Source Sans Pro" w:eastAsia="標楷體" w:hAnsi="Source Sans Pro" w:hint="eastAsia"/>
          <w:sz w:val="28"/>
          <w:szCs w:val="28"/>
        </w:rPr>
        <w:t>9.08%</w:t>
      </w:r>
      <w:r w:rsidR="00CB70BB">
        <w:rPr>
          <w:rFonts w:ascii="Source Sans Pro" w:eastAsia="標楷體" w:hAnsi="Source Sans Pro" w:hint="eastAsia"/>
          <w:sz w:val="28"/>
          <w:szCs w:val="28"/>
        </w:rPr>
        <w:t>）</w:t>
      </w:r>
      <w:r w:rsidR="00CB70BB"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7560CC33" w14:textId="77777777" w:rsidR="00194E41" w:rsidRDefault="00194E41" w:rsidP="00805E90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51C007F6" w14:textId="0DB3DFEA" w:rsidR="00CB70BB" w:rsidRDefault="00CB70BB" w:rsidP="00805E90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債券型基金在升息壓力下幾乎全軍盡墨，只有全球高收益債（全部幣別</w:t>
      </w:r>
      <w:r>
        <w:rPr>
          <w:rFonts w:ascii="Source Sans Pro" w:eastAsia="標楷體" w:hAnsi="Source Sans Pro" w:hint="eastAsia"/>
          <w:sz w:val="28"/>
          <w:szCs w:val="28"/>
        </w:rPr>
        <w:t>1.99%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0.36%</w:t>
      </w:r>
      <w:r>
        <w:rPr>
          <w:rFonts w:ascii="Source Sans Pro" w:eastAsia="標楷體" w:hAnsi="Source Sans Pro" w:hint="eastAsia"/>
          <w:sz w:val="28"/>
          <w:szCs w:val="28"/>
        </w:rPr>
        <w:t>）有些微正報酬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亞洲高收益債（全部幣別</w:t>
      </w:r>
      <w:r>
        <w:rPr>
          <w:rFonts w:ascii="Source Sans Pro" w:eastAsia="標楷體" w:hAnsi="Source Sans Pro" w:hint="eastAsia"/>
          <w:sz w:val="28"/>
          <w:szCs w:val="28"/>
        </w:rPr>
        <w:t>-16.02%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-17.51%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中國大陸高收益債（全部幣別</w:t>
      </w:r>
      <w:r>
        <w:rPr>
          <w:rFonts w:ascii="Source Sans Pro" w:eastAsia="標楷體" w:hAnsi="Source Sans Pro" w:hint="eastAsia"/>
          <w:sz w:val="28"/>
          <w:szCs w:val="28"/>
        </w:rPr>
        <w:t>-13.78%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-15.55%</w:t>
      </w:r>
      <w:r>
        <w:rPr>
          <w:rFonts w:ascii="Source Sans Pro" w:eastAsia="標楷體" w:hAnsi="Source Sans Pro" w:hint="eastAsia"/>
          <w:sz w:val="28"/>
          <w:szCs w:val="28"/>
        </w:rPr>
        <w:t>）損失慘重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其他子類大多有</w:t>
      </w:r>
      <w:r>
        <w:rPr>
          <w:rFonts w:ascii="Source Sans Pro" w:eastAsia="標楷體" w:hAnsi="Source Sans Pro" w:hint="eastAsia"/>
          <w:sz w:val="28"/>
          <w:szCs w:val="28"/>
        </w:rPr>
        <w:t>2%</w:t>
      </w:r>
      <w:r>
        <w:rPr>
          <w:rFonts w:ascii="Source Sans Pro" w:eastAsia="標楷體" w:hAnsi="Source Sans Pro" w:hint="eastAsia"/>
          <w:sz w:val="28"/>
          <w:szCs w:val="28"/>
        </w:rPr>
        <w:t>到</w:t>
      </w:r>
      <w:r>
        <w:rPr>
          <w:rFonts w:ascii="Source Sans Pro" w:eastAsia="標楷體" w:hAnsi="Source Sans Pro" w:hint="eastAsia"/>
          <w:sz w:val="28"/>
          <w:szCs w:val="28"/>
        </w:rPr>
        <w:t>5%</w:t>
      </w:r>
      <w:r>
        <w:rPr>
          <w:rFonts w:ascii="Source Sans Pro" w:eastAsia="標楷體" w:hAnsi="Source Sans Pro" w:hint="eastAsia"/>
          <w:sz w:val="28"/>
          <w:szCs w:val="28"/>
        </w:rPr>
        <w:t>的損失，如全球投資等級債（全部幣別</w:t>
      </w:r>
      <w:r>
        <w:rPr>
          <w:rFonts w:ascii="Source Sans Pro" w:eastAsia="標楷體" w:hAnsi="Source Sans Pro" w:hint="eastAsia"/>
          <w:sz w:val="28"/>
          <w:szCs w:val="28"/>
        </w:rPr>
        <w:t>-0.78%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-3.06%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美國投資等級債（</w:t>
      </w:r>
      <w:r>
        <w:rPr>
          <w:rFonts w:ascii="Source Sans Pro" w:eastAsia="標楷體" w:hAnsi="Source Sans Pro" w:hint="eastAsia"/>
          <w:sz w:val="28"/>
          <w:szCs w:val="28"/>
        </w:rPr>
        <w:t>-2.96%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071EAF">
        <w:rPr>
          <w:rFonts w:ascii="Source Sans Pro" w:eastAsia="標楷體" w:hAnsi="Source Sans Pro" w:hint="eastAsia"/>
          <w:sz w:val="28"/>
          <w:szCs w:val="28"/>
        </w:rPr>
        <w:t>全球</w:t>
      </w:r>
      <w:r>
        <w:rPr>
          <w:rFonts w:ascii="Source Sans Pro" w:eastAsia="標楷體" w:hAnsi="Source Sans Pro" w:hint="eastAsia"/>
          <w:sz w:val="28"/>
          <w:szCs w:val="28"/>
        </w:rPr>
        <w:t>新興市場投資等級債（全部幣別</w:t>
      </w:r>
      <w:r>
        <w:rPr>
          <w:rFonts w:ascii="Source Sans Pro" w:eastAsia="標楷體" w:hAnsi="Source Sans Pro" w:hint="eastAsia"/>
          <w:sz w:val="28"/>
          <w:szCs w:val="28"/>
        </w:rPr>
        <w:t>-3.25%</w:t>
      </w:r>
      <w:r>
        <w:rPr>
          <w:rFonts w:ascii="Source Sans Pro" w:eastAsia="標楷體" w:hAnsi="Source Sans Pro" w:hint="eastAsia"/>
          <w:sz w:val="28"/>
          <w:szCs w:val="28"/>
        </w:rPr>
        <w:t>，台</w:t>
      </w:r>
      <w:r>
        <w:rPr>
          <w:rFonts w:ascii="Source Sans Pro" w:eastAsia="標楷體" w:hAnsi="Source Sans Pro" w:hint="eastAsia"/>
          <w:sz w:val="28"/>
          <w:szCs w:val="28"/>
        </w:rPr>
        <w:lastRenderedPageBreak/>
        <w:t>幣</w:t>
      </w:r>
      <w:r>
        <w:rPr>
          <w:rFonts w:ascii="Source Sans Pro" w:eastAsia="標楷體" w:hAnsi="Source Sans Pro" w:hint="eastAsia"/>
          <w:sz w:val="28"/>
          <w:szCs w:val="28"/>
        </w:rPr>
        <w:t>-5.47%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亞洲新興市場投資等級債（全部幣別</w:t>
      </w:r>
      <w:r>
        <w:rPr>
          <w:rFonts w:ascii="Source Sans Pro" w:eastAsia="標楷體" w:hAnsi="Source Sans Pro" w:hint="eastAsia"/>
          <w:sz w:val="28"/>
          <w:szCs w:val="28"/>
        </w:rPr>
        <w:t>-3.40%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-4.21%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目標到期投資等級債（全部幣別</w:t>
      </w:r>
      <w:r>
        <w:rPr>
          <w:rFonts w:ascii="Source Sans Pro" w:eastAsia="標楷體" w:hAnsi="Source Sans Pro" w:hint="eastAsia"/>
          <w:sz w:val="28"/>
          <w:szCs w:val="28"/>
        </w:rPr>
        <w:t>-1.27%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-4.10%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新興市場高收益債（全部幣別</w:t>
      </w:r>
      <w:r>
        <w:rPr>
          <w:rFonts w:ascii="Source Sans Pro" w:eastAsia="標楷體" w:hAnsi="Source Sans Pro" w:hint="eastAsia"/>
          <w:sz w:val="28"/>
          <w:szCs w:val="28"/>
        </w:rPr>
        <w:t>-3.45%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-5.12%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一般型債券</w:t>
      </w:r>
      <w:r>
        <w:rPr>
          <w:rFonts w:ascii="Source Sans Pro" w:eastAsia="標楷體" w:hAnsi="Source Sans Pro" w:hint="eastAsia"/>
          <w:sz w:val="28"/>
          <w:szCs w:val="28"/>
        </w:rPr>
        <w:t>ETF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</w:t>
      </w:r>
      <w:r>
        <w:rPr>
          <w:rFonts w:ascii="Source Sans Pro" w:eastAsia="標楷體" w:hAnsi="Source Sans Pro"/>
          <w:sz w:val="28"/>
          <w:szCs w:val="28"/>
        </w:rPr>
        <w:t>2.88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新台幣在</w:t>
      </w:r>
      <w:r>
        <w:rPr>
          <w:rFonts w:ascii="Source Sans Pro" w:eastAsia="標楷體" w:hAnsi="Source Sans Pro" w:hint="eastAsia"/>
          <w:sz w:val="28"/>
          <w:szCs w:val="28"/>
        </w:rPr>
        <w:t>2021</w:t>
      </w:r>
      <w:r>
        <w:rPr>
          <w:rFonts w:ascii="Source Sans Pro" w:eastAsia="標楷體" w:hAnsi="Source Sans Pro" w:hint="eastAsia"/>
          <w:sz w:val="28"/>
          <w:szCs w:val="28"/>
        </w:rPr>
        <w:t>年獨強，美元兌台幣貶值</w:t>
      </w:r>
      <w:r>
        <w:rPr>
          <w:rFonts w:ascii="Source Sans Pro" w:eastAsia="標楷體" w:hAnsi="Source Sans Pro" w:hint="eastAsia"/>
          <w:sz w:val="28"/>
          <w:szCs w:val="28"/>
        </w:rPr>
        <w:t>2.87%</w:t>
      </w:r>
      <w:r>
        <w:rPr>
          <w:rFonts w:ascii="Source Sans Pro" w:eastAsia="標楷體" w:hAnsi="Source Sans Pro" w:hint="eastAsia"/>
          <w:sz w:val="28"/>
          <w:szCs w:val="28"/>
        </w:rPr>
        <w:t>，歐元兌台幣貶值</w:t>
      </w:r>
      <w:r>
        <w:rPr>
          <w:rFonts w:ascii="Source Sans Pro" w:eastAsia="標楷體" w:hAnsi="Source Sans Pro" w:hint="eastAsia"/>
          <w:sz w:val="28"/>
          <w:szCs w:val="28"/>
        </w:rPr>
        <w:t>9.94%</w:t>
      </w:r>
      <w:r>
        <w:rPr>
          <w:rFonts w:ascii="Source Sans Pro" w:eastAsia="標楷體" w:hAnsi="Source Sans Pro" w:hint="eastAsia"/>
          <w:sz w:val="28"/>
          <w:szCs w:val="28"/>
        </w:rPr>
        <w:t>，人民幣兌台幣貶值</w:t>
      </w:r>
      <w:r>
        <w:rPr>
          <w:rFonts w:ascii="Source Sans Pro" w:eastAsia="標楷體" w:hAnsi="Source Sans Pro" w:hint="eastAsia"/>
          <w:sz w:val="28"/>
          <w:szCs w:val="28"/>
        </w:rPr>
        <w:t>0.49%</w:t>
      </w:r>
      <w:r>
        <w:rPr>
          <w:rFonts w:ascii="Source Sans Pro" w:eastAsia="標楷體" w:hAnsi="Source Sans Pro" w:hint="eastAsia"/>
          <w:sz w:val="28"/>
          <w:szCs w:val="28"/>
        </w:rPr>
        <w:t>，日元兌台幣貶值</w:t>
      </w:r>
      <w:r>
        <w:rPr>
          <w:rFonts w:ascii="Source Sans Pro" w:eastAsia="標楷體" w:hAnsi="Source Sans Pro" w:hint="eastAsia"/>
          <w:sz w:val="28"/>
          <w:szCs w:val="28"/>
        </w:rPr>
        <w:t>12.86%</w:t>
      </w:r>
      <w:r>
        <w:rPr>
          <w:rFonts w:ascii="Source Sans Pro" w:eastAsia="標楷體" w:hAnsi="Source Sans Pro" w:hint="eastAsia"/>
          <w:sz w:val="28"/>
          <w:szCs w:val="28"/>
        </w:rPr>
        <w:t>，因此基金台幣報酬率普遍低於其他幣別計價報酬率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48A1D9C4" w14:textId="77777777" w:rsidR="00E10DDC" w:rsidRDefault="00E10DDC" w:rsidP="00805E90">
      <w:pPr>
        <w:spacing w:beforeLines="50" w:before="180" w:afterLines="50" w:after="180"/>
        <w:rPr>
          <w:rFonts w:ascii="Source Sans Pro" w:eastAsia="標楷體" w:hAnsi="Source Sans Pro" w:hint="eastAsia"/>
          <w:sz w:val="28"/>
          <w:szCs w:val="28"/>
        </w:rPr>
      </w:pPr>
      <w:bookmarkStart w:id="0" w:name="_GoBack"/>
      <w:bookmarkEnd w:id="0"/>
    </w:p>
    <w:p w14:paraId="0E32BAEB" w14:textId="3A4A5E24" w:rsidR="00CB70BB" w:rsidRDefault="00F10BB2" w:rsidP="00805E90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平衡型基金也是國內優於國外，</w:t>
      </w:r>
      <w:r>
        <w:rPr>
          <w:rFonts w:ascii="Source Sans Pro" w:eastAsia="標楷體" w:hAnsi="Source Sans Pro" w:hint="eastAsia"/>
          <w:sz w:val="28"/>
          <w:szCs w:val="28"/>
        </w:rPr>
        <w:t>19</w:t>
      </w:r>
      <w:r>
        <w:rPr>
          <w:rFonts w:ascii="Source Sans Pro" w:eastAsia="標楷體" w:hAnsi="Source Sans Pro" w:hint="eastAsia"/>
          <w:sz w:val="28"/>
          <w:szCs w:val="28"/>
        </w:rPr>
        <w:t>檔國內債券股票平衡型基金年平均報酬率</w:t>
      </w:r>
      <w:r>
        <w:rPr>
          <w:rFonts w:ascii="Source Sans Pro" w:eastAsia="標楷體" w:hAnsi="Source Sans Pro" w:hint="eastAsia"/>
          <w:sz w:val="28"/>
          <w:szCs w:val="28"/>
        </w:rPr>
        <w:t>26.92%</w:t>
      </w:r>
      <w:r>
        <w:rPr>
          <w:rFonts w:ascii="Source Sans Pro" w:eastAsia="標楷體" w:hAnsi="Source Sans Pro" w:hint="eastAsia"/>
          <w:sz w:val="28"/>
          <w:szCs w:val="28"/>
        </w:rPr>
        <w:t>，前兩名聯邦金鑽平衡（</w:t>
      </w:r>
      <w:r>
        <w:rPr>
          <w:rFonts w:ascii="Source Sans Pro" w:eastAsia="標楷體" w:hAnsi="Source Sans Pro" w:hint="eastAsia"/>
          <w:sz w:val="28"/>
          <w:szCs w:val="28"/>
        </w:rPr>
        <w:t>43.77%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801F1A">
        <w:rPr>
          <w:rFonts w:ascii="Source Sans Pro" w:eastAsia="標楷體" w:hAnsi="Source Sans Pro" w:hint="eastAsia"/>
          <w:sz w:val="28"/>
          <w:szCs w:val="28"/>
        </w:rPr>
        <w:t>兆豐國際萬全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 w:rsidR="00801F1A">
        <w:rPr>
          <w:rFonts w:ascii="Source Sans Pro" w:eastAsia="標楷體" w:hAnsi="Source Sans Pro" w:hint="eastAsia"/>
          <w:sz w:val="28"/>
          <w:szCs w:val="28"/>
        </w:rPr>
        <w:t>42.37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="00801F1A">
        <w:rPr>
          <w:rFonts w:ascii="Source Sans Pro" w:eastAsia="標楷體" w:hAnsi="Source Sans Pro" w:hint="eastAsia"/>
          <w:sz w:val="28"/>
          <w:szCs w:val="28"/>
        </w:rPr>
        <w:t>報酬率超過四成</w:t>
      </w:r>
      <w:r w:rsidR="00801F1A" w:rsidRPr="00C339DF">
        <w:rPr>
          <w:rFonts w:ascii="Source Sans Pro" w:eastAsia="標楷體" w:hAnsi="Source Sans Pro"/>
          <w:sz w:val="28"/>
          <w:szCs w:val="28"/>
        </w:rPr>
        <w:t>。</w:t>
      </w:r>
      <w:r w:rsidR="00801F1A">
        <w:rPr>
          <w:rFonts w:ascii="Source Sans Pro" w:eastAsia="標楷體" w:hAnsi="Source Sans Pro" w:hint="eastAsia"/>
          <w:sz w:val="28"/>
          <w:szCs w:val="28"/>
        </w:rPr>
        <w:t>全球平衡型</w:t>
      </w:r>
      <w:r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801F1A">
        <w:rPr>
          <w:rFonts w:ascii="Source Sans Pro" w:eastAsia="標楷體" w:hAnsi="Source Sans Pro" w:hint="eastAsia"/>
          <w:sz w:val="28"/>
          <w:szCs w:val="28"/>
        </w:rPr>
        <w:t>5.32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 w:rsidR="00801F1A">
        <w:rPr>
          <w:rFonts w:ascii="Source Sans Pro" w:eastAsia="標楷體" w:hAnsi="Source Sans Pro" w:hint="eastAsia"/>
          <w:sz w:val="28"/>
          <w:szCs w:val="28"/>
        </w:rPr>
        <w:t>3.07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801F1A">
        <w:rPr>
          <w:rFonts w:ascii="Source Sans Pro" w:eastAsia="標楷體" w:hAnsi="Source Sans Pro" w:hint="eastAsia"/>
          <w:sz w:val="28"/>
          <w:szCs w:val="28"/>
        </w:rPr>
        <w:t>單一國家平衡型</w:t>
      </w:r>
      <w:r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801F1A">
        <w:rPr>
          <w:rFonts w:ascii="Source Sans Pro" w:eastAsia="標楷體" w:hAnsi="Source Sans Pro" w:hint="eastAsia"/>
          <w:sz w:val="28"/>
          <w:szCs w:val="28"/>
        </w:rPr>
        <w:t>7.68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，</w:t>
      </w:r>
      <w:r w:rsidR="00801F1A">
        <w:rPr>
          <w:rFonts w:ascii="Source Sans Pro" w:eastAsia="標楷體" w:hAnsi="Source Sans Pro" w:hint="eastAsia"/>
          <w:sz w:val="28"/>
          <w:szCs w:val="28"/>
        </w:rPr>
        <w:t>主要為美國及印度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801F1A">
        <w:rPr>
          <w:rFonts w:ascii="Source Sans Pro" w:eastAsia="標楷體" w:hAnsi="Source Sans Pro" w:hint="eastAsia"/>
          <w:sz w:val="28"/>
          <w:szCs w:val="28"/>
        </w:rPr>
        <w:t>多重資產型</w:t>
      </w:r>
      <w:r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801F1A">
        <w:rPr>
          <w:rFonts w:ascii="Source Sans Pro" w:eastAsia="標楷體" w:hAnsi="Source Sans Pro" w:hint="eastAsia"/>
          <w:sz w:val="28"/>
          <w:szCs w:val="28"/>
        </w:rPr>
        <w:t>6.14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 w:rsidR="00801F1A">
        <w:rPr>
          <w:rFonts w:ascii="Source Sans Pro" w:eastAsia="標楷體" w:hAnsi="Source Sans Pro" w:hint="eastAsia"/>
          <w:sz w:val="28"/>
          <w:szCs w:val="28"/>
        </w:rPr>
        <w:t>4.18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="00801F1A">
        <w:rPr>
          <w:rFonts w:ascii="Source Sans Pro" w:eastAsia="標楷體" w:hAnsi="Source Sans Pro" w:hint="eastAsia"/>
          <w:sz w:val="28"/>
          <w:szCs w:val="28"/>
        </w:rPr>
        <w:t>表現尚稱穩健</w:t>
      </w:r>
      <w:r w:rsidR="00801F1A" w:rsidRPr="00C339DF">
        <w:rPr>
          <w:rFonts w:ascii="Source Sans Pro" w:eastAsia="標楷體" w:hAnsi="Source Sans Pro"/>
          <w:sz w:val="28"/>
          <w:szCs w:val="28"/>
        </w:rPr>
        <w:t>。</w:t>
      </w:r>
      <w:r w:rsidR="00801F1A">
        <w:rPr>
          <w:rFonts w:ascii="Source Sans Pro" w:eastAsia="標楷體" w:hAnsi="Source Sans Pro" w:hint="eastAsia"/>
          <w:sz w:val="28"/>
          <w:szCs w:val="28"/>
        </w:rPr>
        <w:t>中國大陸平衡型</w:t>
      </w:r>
      <w:r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801F1A">
        <w:rPr>
          <w:rFonts w:ascii="Source Sans Pro" w:eastAsia="標楷體" w:hAnsi="Source Sans Pro" w:hint="eastAsia"/>
          <w:sz w:val="28"/>
          <w:szCs w:val="28"/>
        </w:rPr>
        <w:t>-6.31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 w:rsidR="00801F1A">
        <w:rPr>
          <w:rFonts w:ascii="Source Sans Pro" w:eastAsia="標楷體" w:hAnsi="Source Sans Pro" w:hint="eastAsia"/>
          <w:sz w:val="28"/>
          <w:szCs w:val="28"/>
        </w:rPr>
        <w:t>-7.5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="00801F1A">
        <w:rPr>
          <w:rFonts w:ascii="Source Sans Pro" w:eastAsia="標楷體" w:hAnsi="Source Sans Pro" w:hint="eastAsia"/>
          <w:sz w:val="28"/>
          <w:szCs w:val="28"/>
        </w:rPr>
        <w:t>因為股債雙殺而有相當損失</w:t>
      </w:r>
      <w:r w:rsidR="00801F1A" w:rsidRPr="00C339DF">
        <w:rPr>
          <w:rFonts w:ascii="Source Sans Pro" w:eastAsia="標楷體" w:hAnsi="Source Sans Pro"/>
          <w:sz w:val="28"/>
          <w:szCs w:val="28"/>
        </w:rPr>
        <w:t>。</w:t>
      </w:r>
      <w:r w:rsidR="00801F1A">
        <w:rPr>
          <w:rFonts w:ascii="Source Sans Pro" w:eastAsia="標楷體" w:hAnsi="Source Sans Pro" w:hint="eastAsia"/>
          <w:sz w:val="28"/>
          <w:szCs w:val="28"/>
        </w:rPr>
        <w:t>不動產證券化基金</w:t>
      </w:r>
      <w:r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801F1A">
        <w:rPr>
          <w:rFonts w:ascii="Source Sans Pro" w:eastAsia="標楷體" w:hAnsi="Source Sans Pro" w:hint="eastAsia"/>
          <w:sz w:val="28"/>
          <w:szCs w:val="28"/>
        </w:rPr>
        <w:t>16.58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 w:rsidR="00801F1A">
        <w:rPr>
          <w:rFonts w:ascii="Source Sans Pro" w:eastAsia="標楷體" w:hAnsi="Source Sans Pro" w:hint="eastAsia"/>
          <w:sz w:val="28"/>
          <w:szCs w:val="28"/>
        </w:rPr>
        <w:t>15.02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="00801F1A">
        <w:rPr>
          <w:rFonts w:ascii="Source Sans Pro" w:eastAsia="標楷體" w:hAnsi="Source Sans Pro" w:hint="eastAsia"/>
          <w:sz w:val="28"/>
          <w:szCs w:val="28"/>
        </w:rPr>
        <w:t>受惠於經濟復甦及房地產價格上漲，表現相當不錯，第一名台新北美收益資產證券化基金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 w:rsidR="00801F1A">
        <w:rPr>
          <w:rFonts w:ascii="Source Sans Pro" w:eastAsia="標楷體" w:hAnsi="Source Sans Pro" w:hint="eastAsia"/>
          <w:sz w:val="28"/>
          <w:szCs w:val="28"/>
        </w:rPr>
        <w:t>美元</w:t>
      </w:r>
      <w:r w:rsidR="00801F1A">
        <w:rPr>
          <w:rFonts w:ascii="Source Sans Pro" w:eastAsia="標楷體" w:hAnsi="Source Sans Pro" w:hint="eastAsia"/>
          <w:sz w:val="28"/>
          <w:szCs w:val="28"/>
        </w:rPr>
        <w:t>39.35%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 w:rsidR="00801F1A">
        <w:rPr>
          <w:rFonts w:ascii="Source Sans Pro" w:eastAsia="標楷體" w:hAnsi="Source Sans Pro" w:hint="eastAsia"/>
          <w:sz w:val="28"/>
          <w:szCs w:val="28"/>
        </w:rPr>
        <w:t>36.32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="00801F1A">
        <w:rPr>
          <w:rFonts w:ascii="Source Sans Pro" w:eastAsia="標楷體" w:hAnsi="Source Sans Pro" w:hint="eastAsia"/>
          <w:sz w:val="28"/>
          <w:szCs w:val="28"/>
        </w:rPr>
        <w:t>報酬亮眼</w:t>
      </w:r>
      <w:r w:rsidR="00801F1A" w:rsidRPr="00C339DF">
        <w:rPr>
          <w:rFonts w:ascii="Source Sans Pro" w:eastAsia="標楷體" w:hAnsi="Source Sans Pro"/>
          <w:sz w:val="28"/>
          <w:szCs w:val="28"/>
        </w:rPr>
        <w:t>。</w:t>
      </w:r>
      <w:r w:rsidR="00801F1A">
        <w:rPr>
          <w:rFonts w:ascii="Source Sans Pro" w:eastAsia="標楷體" w:hAnsi="Source Sans Pro" w:hint="eastAsia"/>
          <w:sz w:val="28"/>
          <w:szCs w:val="28"/>
        </w:rPr>
        <w:t>規模龐大的國內貨幣市場基金年平均報酬率只有</w:t>
      </w:r>
      <w:r w:rsidR="00801F1A">
        <w:rPr>
          <w:rFonts w:ascii="Source Sans Pro" w:eastAsia="標楷體" w:hAnsi="Source Sans Pro" w:hint="eastAsia"/>
          <w:sz w:val="28"/>
          <w:szCs w:val="28"/>
        </w:rPr>
        <w:t>0.18%</w:t>
      </w:r>
      <w:r w:rsidR="00801F1A">
        <w:rPr>
          <w:rFonts w:ascii="Source Sans Pro" w:eastAsia="標楷體" w:hAnsi="Source Sans Pro" w:hint="eastAsia"/>
          <w:sz w:val="28"/>
          <w:szCs w:val="28"/>
        </w:rPr>
        <w:t>，主要功能在於資金暫泊</w:t>
      </w:r>
      <w:r w:rsidR="00801F1A" w:rsidRPr="00C339DF">
        <w:rPr>
          <w:rFonts w:ascii="Source Sans Pro" w:eastAsia="標楷體" w:hAnsi="Source Sans Pro"/>
          <w:sz w:val="28"/>
          <w:szCs w:val="28"/>
        </w:rPr>
        <w:t>。</w:t>
      </w:r>
      <w:r w:rsidR="00801F1A">
        <w:rPr>
          <w:rFonts w:ascii="Source Sans Pro" w:eastAsia="標楷體" w:hAnsi="Source Sans Pro" w:hint="eastAsia"/>
          <w:sz w:val="28"/>
          <w:szCs w:val="28"/>
        </w:rPr>
        <w:t>跨國組合型基金以一般股票組合型</w:t>
      </w:r>
      <w:r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801F1A">
        <w:rPr>
          <w:rFonts w:ascii="Source Sans Pro" w:eastAsia="標楷體" w:hAnsi="Source Sans Pro" w:hint="eastAsia"/>
          <w:sz w:val="28"/>
          <w:szCs w:val="28"/>
        </w:rPr>
        <w:t>13.27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 w:rsidR="00801F1A">
        <w:rPr>
          <w:rFonts w:ascii="Source Sans Pro" w:eastAsia="標楷體" w:hAnsi="Source Sans Pro" w:hint="eastAsia"/>
          <w:sz w:val="28"/>
          <w:szCs w:val="28"/>
        </w:rPr>
        <w:t>11.50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801F1A">
        <w:rPr>
          <w:rFonts w:ascii="Source Sans Pro" w:eastAsia="標楷體" w:hAnsi="Source Sans Pro" w:hint="eastAsia"/>
          <w:sz w:val="28"/>
          <w:szCs w:val="28"/>
        </w:rPr>
        <w:t>平衡組合型</w:t>
      </w:r>
      <w:r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801F1A">
        <w:rPr>
          <w:rFonts w:ascii="Source Sans Pro" w:eastAsia="標楷體" w:hAnsi="Source Sans Pro" w:hint="eastAsia"/>
          <w:sz w:val="28"/>
          <w:szCs w:val="28"/>
        </w:rPr>
        <w:t>6.01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，台幣</w:t>
      </w:r>
      <w:r w:rsidR="00801F1A">
        <w:rPr>
          <w:rFonts w:ascii="Source Sans Pro" w:eastAsia="標楷體" w:hAnsi="Source Sans Pro" w:hint="eastAsia"/>
          <w:sz w:val="28"/>
          <w:szCs w:val="28"/>
        </w:rPr>
        <w:t>4.47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801F1A">
        <w:rPr>
          <w:rFonts w:ascii="Source Sans Pro" w:eastAsia="標楷體" w:hAnsi="Source Sans Pro" w:hint="eastAsia"/>
          <w:sz w:val="28"/>
          <w:szCs w:val="28"/>
        </w:rPr>
        <w:t>目標</w:t>
      </w:r>
      <w:r w:rsidR="00801F1A">
        <w:rPr>
          <w:rFonts w:ascii="Source Sans Pro" w:eastAsia="標楷體" w:hAnsi="Source Sans Pro" w:hint="eastAsia"/>
          <w:sz w:val="28"/>
          <w:szCs w:val="28"/>
        </w:rPr>
        <w:lastRenderedPageBreak/>
        <w:t>日期型</w:t>
      </w:r>
      <w:r>
        <w:rPr>
          <w:rFonts w:ascii="Source Sans Pro" w:eastAsia="標楷體" w:hAnsi="Source Sans Pro" w:hint="eastAsia"/>
          <w:sz w:val="28"/>
          <w:szCs w:val="28"/>
        </w:rPr>
        <w:t>（全部幣別</w:t>
      </w:r>
      <w:r w:rsidR="00801F1A">
        <w:rPr>
          <w:rFonts w:ascii="Source Sans Pro" w:eastAsia="標楷體" w:hAnsi="Source Sans Pro" w:hint="eastAsia"/>
          <w:sz w:val="28"/>
          <w:szCs w:val="28"/>
        </w:rPr>
        <w:t>7.84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="00801F1A">
        <w:rPr>
          <w:rFonts w:ascii="Source Sans Pro" w:eastAsia="標楷體" w:hAnsi="Source Sans Pro" w:hint="eastAsia"/>
          <w:sz w:val="28"/>
          <w:szCs w:val="28"/>
        </w:rPr>
        <w:t>表現較佳</w:t>
      </w:r>
      <w:r w:rsidR="00801F1A" w:rsidRPr="00C339DF">
        <w:rPr>
          <w:rFonts w:ascii="Source Sans Pro" w:eastAsia="標楷體" w:hAnsi="Source Sans Pro"/>
          <w:sz w:val="28"/>
          <w:szCs w:val="28"/>
        </w:rPr>
        <w:t>。</w:t>
      </w:r>
    </w:p>
    <w:sectPr w:rsidR="00CB7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6C543" w14:textId="77777777" w:rsidR="005F78E6" w:rsidRDefault="005F78E6" w:rsidP="002C75AE">
      <w:r>
        <w:separator/>
      </w:r>
    </w:p>
  </w:endnote>
  <w:endnote w:type="continuationSeparator" w:id="0">
    <w:p w14:paraId="6BB8B9DB" w14:textId="77777777" w:rsidR="005F78E6" w:rsidRDefault="005F78E6" w:rsidP="002C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59FE3" w14:textId="77777777" w:rsidR="005F78E6" w:rsidRDefault="005F78E6" w:rsidP="002C75AE">
      <w:r>
        <w:separator/>
      </w:r>
    </w:p>
  </w:footnote>
  <w:footnote w:type="continuationSeparator" w:id="0">
    <w:p w14:paraId="1AAA89FD" w14:textId="77777777" w:rsidR="005F78E6" w:rsidRDefault="005F78E6" w:rsidP="002C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88"/>
    <w:rsid w:val="000002D8"/>
    <w:rsid w:val="00012EDE"/>
    <w:rsid w:val="000131B4"/>
    <w:rsid w:val="00020FB1"/>
    <w:rsid w:val="00022B4B"/>
    <w:rsid w:val="00024CEF"/>
    <w:rsid w:val="00030C9D"/>
    <w:rsid w:val="00032AB9"/>
    <w:rsid w:val="000344C5"/>
    <w:rsid w:val="0003613F"/>
    <w:rsid w:val="0004213E"/>
    <w:rsid w:val="00045DE6"/>
    <w:rsid w:val="00047145"/>
    <w:rsid w:val="00047749"/>
    <w:rsid w:val="000518D7"/>
    <w:rsid w:val="00052262"/>
    <w:rsid w:val="00060310"/>
    <w:rsid w:val="00060A5E"/>
    <w:rsid w:val="0006249C"/>
    <w:rsid w:val="00063187"/>
    <w:rsid w:val="00063E6A"/>
    <w:rsid w:val="00064E97"/>
    <w:rsid w:val="00065878"/>
    <w:rsid w:val="00067303"/>
    <w:rsid w:val="0007188F"/>
    <w:rsid w:val="00071EAF"/>
    <w:rsid w:val="00072287"/>
    <w:rsid w:val="00073B8E"/>
    <w:rsid w:val="000772D5"/>
    <w:rsid w:val="00085FAE"/>
    <w:rsid w:val="00090723"/>
    <w:rsid w:val="00091D1C"/>
    <w:rsid w:val="00095603"/>
    <w:rsid w:val="000A0C02"/>
    <w:rsid w:val="000B021D"/>
    <w:rsid w:val="000C07CC"/>
    <w:rsid w:val="000D16B7"/>
    <w:rsid w:val="000D2A6E"/>
    <w:rsid w:val="000D497D"/>
    <w:rsid w:val="000D70E8"/>
    <w:rsid w:val="000F1856"/>
    <w:rsid w:val="000F251C"/>
    <w:rsid w:val="000F29EC"/>
    <w:rsid w:val="000F604F"/>
    <w:rsid w:val="00100DDC"/>
    <w:rsid w:val="001047CF"/>
    <w:rsid w:val="001063F4"/>
    <w:rsid w:val="001105DC"/>
    <w:rsid w:val="00113A68"/>
    <w:rsid w:val="00114F7D"/>
    <w:rsid w:val="00116B9E"/>
    <w:rsid w:val="00117588"/>
    <w:rsid w:val="00121A2D"/>
    <w:rsid w:val="001251A4"/>
    <w:rsid w:val="001352EA"/>
    <w:rsid w:val="00136A41"/>
    <w:rsid w:val="00136CE1"/>
    <w:rsid w:val="001377BD"/>
    <w:rsid w:val="001460DD"/>
    <w:rsid w:val="001522C4"/>
    <w:rsid w:val="00153C48"/>
    <w:rsid w:val="00155111"/>
    <w:rsid w:val="0017261F"/>
    <w:rsid w:val="00172C8F"/>
    <w:rsid w:val="00172FA0"/>
    <w:rsid w:val="00173B72"/>
    <w:rsid w:val="00176AC1"/>
    <w:rsid w:val="001809B2"/>
    <w:rsid w:val="00181BD2"/>
    <w:rsid w:val="00184C4F"/>
    <w:rsid w:val="00191551"/>
    <w:rsid w:val="001927D3"/>
    <w:rsid w:val="001946C4"/>
    <w:rsid w:val="00194E41"/>
    <w:rsid w:val="001A2990"/>
    <w:rsid w:val="001A3AB0"/>
    <w:rsid w:val="001A5C22"/>
    <w:rsid w:val="001C14AA"/>
    <w:rsid w:val="001C7946"/>
    <w:rsid w:val="001D2176"/>
    <w:rsid w:val="001D2536"/>
    <w:rsid w:val="001D42CE"/>
    <w:rsid w:val="001E2727"/>
    <w:rsid w:val="001E41DC"/>
    <w:rsid w:val="001E5E76"/>
    <w:rsid w:val="001F1CCC"/>
    <w:rsid w:val="001F75D8"/>
    <w:rsid w:val="0020029F"/>
    <w:rsid w:val="002003E8"/>
    <w:rsid w:val="0020528D"/>
    <w:rsid w:val="00211D4A"/>
    <w:rsid w:val="00214BFD"/>
    <w:rsid w:val="00216F45"/>
    <w:rsid w:val="002220DB"/>
    <w:rsid w:val="00225328"/>
    <w:rsid w:val="00226522"/>
    <w:rsid w:val="00227E3F"/>
    <w:rsid w:val="002433C4"/>
    <w:rsid w:val="002518C7"/>
    <w:rsid w:val="00254665"/>
    <w:rsid w:val="00260ACD"/>
    <w:rsid w:val="00272158"/>
    <w:rsid w:val="0027353E"/>
    <w:rsid w:val="00274B00"/>
    <w:rsid w:val="002773BF"/>
    <w:rsid w:val="0028311F"/>
    <w:rsid w:val="00290BE4"/>
    <w:rsid w:val="00291A01"/>
    <w:rsid w:val="00291A8D"/>
    <w:rsid w:val="00292611"/>
    <w:rsid w:val="00294B29"/>
    <w:rsid w:val="002A2B43"/>
    <w:rsid w:val="002A43D3"/>
    <w:rsid w:val="002B148C"/>
    <w:rsid w:val="002C146F"/>
    <w:rsid w:val="002C21FE"/>
    <w:rsid w:val="002C4A4D"/>
    <w:rsid w:val="002C5ECE"/>
    <w:rsid w:val="002C75AE"/>
    <w:rsid w:val="002D1981"/>
    <w:rsid w:val="002D4549"/>
    <w:rsid w:val="002D6CE6"/>
    <w:rsid w:val="002D7700"/>
    <w:rsid w:val="002E116E"/>
    <w:rsid w:val="002E5D07"/>
    <w:rsid w:val="002E6497"/>
    <w:rsid w:val="00300386"/>
    <w:rsid w:val="00302838"/>
    <w:rsid w:val="003029E1"/>
    <w:rsid w:val="0031085F"/>
    <w:rsid w:val="00316FF4"/>
    <w:rsid w:val="003171D9"/>
    <w:rsid w:val="0033635B"/>
    <w:rsid w:val="0034152C"/>
    <w:rsid w:val="00350ED4"/>
    <w:rsid w:val="00351846"/>
    <w:rsid w:val="003607FE"/>
    <w:rsid w:val="0036136C"/>
    <w:rsid w:val="00363C66"/>
    <w:rsid w:val="003656C4"/>
    <w:rsid w:val="0037174D"/>
    <w:rsid w:val="00380F91"/>
    <w:rsid w:val="00383448"/>
    <w:rsid w:val="003852DE"/>
    <w:rsid w:val="00386E8F"/>
    <w:rsid w:val="00393514"/>
    <w:rsid w:val="00395182"/>
    <w:rsid w:val="003A0151"/>
    <w:rsid w:val="003B07AF"/>
    <w:rsid w:val="003B1616"/>
    <w:rsid w:val="003C1261"/>
    <w:rsid w:val="003C439B"/>
    <w:rsid w:val="003C550A"/>
    <w:rsid w:val="003D06B0"/>
    <w:rsid w:val="003D2157"/>
    <w:rsid w:val="003D3AF9"/>
    <w:rsid w:val="003E0800"/>
    <w:rsid w:val="003E1BB9"/>
    <w:rsid w:val="003E3E47"/>
    <w:rsid w:val="00405B20"/>
    <w:rsid w:val="00411533"/>
    <w:rsid w:val="00412ED8"/>
    <w:rsid w:val="00427567"/>
    <w:rsid w:val="00430AEA"/>
    <w:rsid w:val="00430F98"/>
    <w:rsid w:val="00434B11"/>
    <w:rsid w:val="00437196"/>
    <w:rsid w:val="00454E66"/>
    <w:rsid w:val="00456B07"/>
    <w:rsid w:val="004608A9"/>
    <w:rsid w:val="004616E1"/>
    <w:rsid w:val="00464ECA"/>
    <w:rsid w:val="00470726"/>
    <w:rsid w:val="00470C8F"/>
    <w:rsid w:val="00481A58"/>
    <w:rsid w:val="00485194"/>
    <w:rsid w:val="00497580"/>
    <w:rsid w:val="004A0B6F"/>
    <w:rsid w:val="004A3957"/>
    <w:rsid w:val="004B3B04"/>
    <w:rsid w:val="004C41D1"/>
    <w:rsid w:val="004C497F"/>
    <w:rsid w:val="004D640F"/>
    <w:rsid w:val="004E7C9F"/>
    <w:rsid w:val="004F1154"/>
    <w:rsid w:val="00500386"/>
    <w:rsid w:val="00504EFF"/>
    <w:rsid w:val="0051730B"/>
    <w:rsid w:val="00525A02"/>
    <w:rsid w:val="00527902"/>
    <w:rsid w:val="00530C7B"/>
    <w:rsid w:val="00532AF4"/>
    <w:rsid w:val="0054216A"/>
    <w:rsid w:val="0054378F"/>
    <w:rsid w:val="00544D91"/>
    <w:rsid w:val="00545C00"/>
    <w:rsid w:val="005461BC"/>
    <w:rsid w:val="005540C3"/>
    <w:rsid w:val="00556262"/>
    <w:rsid w:val="00556BD5"/>
    <w:rsid w:val="00562B2F"/>
    <w:rsid w:val="00563386"/>
    <w:rsid w:val="00563AF4"/>
    <w:rsid w:val="00572CE1"/>
    <w:rsid w:val="005751E3"/>
    <w:rsid w:val="00575C77"/>
    <w:rsid w:val="0057702E"/>
    <w:rsid w:val="0058286A"/>
    <w:rsid w:val="00582DDF"/>
    <w:rsid w:val="00586380"/>
    <w:rsid w:val="0058758B"/>
    <w:rsid w:val="00596A8A"/>
    <w:rsid w:val="005A1740"/>
    <w:rsid w:val="005A7CF5"/>
    <w:rsid w:val="005C7702"/>
    <w:rsid w:val="005D4445"/>
    <w:rsid w:val="005E265E"/>
    <w:rsid w:val="005E78DE"/>
    <w:rsid w:val="005F508E"/>
    <w:rsid w:val="005F55FE"/>
    <w:rsid w:val="005F621C"/>
    <w:rsid w:val="005F78E6"/>
    <w:rsid w:val="00601399"/>
    <w:rsid w:val="00602B2D"/>
    <w:rsid w:val="00603590"/>
    <w:rsid w:val="006119ED"/>
    <w:rsid w:val="00620372"/>
    <w:rsid w:val="00621F5D"/>
    <w:rsid w:val="006273F5"/>
    <w:rsid w:val="00627F43"/>
    <w:rsid w:val="00634665"/>
    <w:rsid w:val="00643ACE"/>
    <w:rsid w:val="0065586C"/>
    <w:rsid w:val="00657046"/>
    <w:rsid w:val="00660C78"/>
    <w:rsid w:val="00662064"/>
    <w:rsid w:val="00666F90"/>
    <w:rsid w:val="006824F3"/>
    <w:rsid w:val="006827BA"/>
    <w:rsid w:val="00693AFA"/>
    <w:rsid w:val="00694257"/>
    <w:rsid w:val="00694A91"/>
    <w:rsid w:val="006A3FC8"/>
    <w:rsid w:val="006B039F"/>
    <w:rsid w:val="006B1FFD"/>
    <w:rsid w:val="006B3F79"/>
    <w:rsid w:val="006B4F9E"/>
    <w:rsid w:val="006C2A46"/>
    <w:rsid w:val="006D1CD8"/>
    <w:rsid w:val="006D493A"/>
    <w:rsid w:val="006D60CC"/>
    <w:rsid w:val="006E073A"/>
    <w:rsid w:val="006E226A"/>
    <w:rsid w:val="006E2AF5"/>
    <w:rsid w:val="006E390B"/>
    <w:rsid w:val="006E5AC6"/>
    <w:rsid w:val="006E7470"/>
    <w:rsid w:val="006F1A1E"/>
    <w:rsid w:val="006F751B"/>
    <w:rsid w:val="00700829"/>
    <w:rsid w:val="007072F0"/>
    <w:rsid w:val="007164D6"/>
    <w:rsid w:val="007173A9"/>
    <w:rsid w:val="00720A28"/>
    <w:rsid w:val="00731E8B"/>
    <w:rsid w:val="00735B52"/>
    <w:rsid w:val="00736B3F"/>
    <w:rsid w:val="007432F2"/>
    <w:rsid w:val="007440CB"/>
    <w:rsid w:val="007440CF"/>
    <w:rsid w:val="007465C5"/>
    <w:rsid w:val="00757B62"/>
    <w:rsid w:val="007644CB"/>
    <w:rsid w:val="00765EE4"/>
    <w:rsid w:val="00765F24"/>
    <w:rsid w:val="007745AA"/>
    <w:rsid w:val="00775A87"/>
    <w:rsid w:val="0078375B"/>
    <w:rsid w:val="0078377F"/>
    <w:rsid w:val="00794FCC"/>
    <w:rsid w:val="00796E39"/>
    <w:rsid w:val="007A5132"/>
    <w:rsid w:val="007A61FC"/>
    <w:rsid w:val="007A6691"/>
    <w:rsid w:val="007B2851"/>
    <w:rsid w:val="007B2C7D"/>
    <w:rsid w:val="007B3160"/>
    <w:rsid w:val="007B360C"/>
    <w:rsid w:val="007C2806"/>
    <w:rsid w:val="007D53D5"/>
    <w:rsid w:val="007D6571"/>
    <w:rsid w:val="007D6F16"/>
    <w:rsid w:val="007E5AA3"/>
    <w:rsid w:val="007E67CC"/>
    <w:rsid w:val="00801F1A"/>
    <w:rsid w:val="00802193"/>
    <w:rsid w:val="0080338F"/>
    <w:rsid w:val="00805E90"/>
    <w:rsid w:val="008160FE"/>
    <w:rsid w:val="00817D16"/>
    <w:rsid w:val="00820B1B"/>
    <w:rsid w:val="00823DF3"/>
    <w:rsid w:val="00827BB6"/>
    <w:rsid w:val="00833591"/>
    <w:rsid w:val="0083489D"/>
    <w:rsid w:val="00843D17"/>
    <w:rsid w:val="00844F74"/>
    <w:rsid w:val="00845D5C"/>
    <w:rsid w:val="0086012B"/>
    <w:rsid w:val="00863368"/>
    <w:rsid w:val="0086749A"/>
    <w:rsid w:val="008732FA"/>
    <w:rsid w:val="00876201"/>
    <w:rsid w:val="00881918"/>
    <w:rsid w:val="008A142F"/>
    <w:rsid w:val="008A286C"/>
    <w:rsid w:val="008A7B08"/>
    <w:rsid w:val="008B0FB1"/>
    <w:rsid w:val="008B27F8"/>
    <w:rsid w:val="008B4925"/>
    <w:rsid w:val="008B60F2"/>
    <w:rsid w:val="008C2451"/>
    <w:rsid w:val="008C60EE"/>
    <w:rsid w:val="008D0E29"/>
    <w:rsid w:val="008D1AF3"/>
    <w:rsid w:val="008D2690"/>
    <w:rsid w:val="008D2738"/>
    <w:rsid w:val="008D6350"/>
    <w:rsid w:val="008E06B5"/>
    <w:rsid w:val="008E4E0A"/>
    <w:rsid w:val="008F1245"/>
    <w:rsid w:val="008F2018"/>
    <w:rsid w:val="008F2856"/>
    <w:rsid w:val="008F7A12"/>
    <w:rsid w:val="008F7B8B"/>
    <w:rsid w:val="0090494C"/>
    <w:rsid w:val="00907672"/>
    <w:rsid w:val="009076AF"/>
    <w:rsid w:val="00911A56"/>
    <w:rsid w:val="00916970"/>
    <w:rsid w:val="0092299F"/>
    <w:rsid w:val="00926B78"/>
    <w:rsid w:val="00930913"/>
    <w:rsid w:val="00930925"/>
    <w:rsid w:val="0093117F"/>
    <w:rsid w:val="00936506"/>
    <w:rsid w:val="009415D4"/>
    <w:rsid w:val="00943CBD"/>
    <w:rsid w:val="00947C14"/>
    <w:rsid w:val="009521CD"/>
    <w:rsid w:val="00953D81"/>
    <w:rsid w:val="00954B79"/>
    <w:rsid w:val="009576A5"/>
    <w:rsid w:val="00957A10"/>
    <w:rsid w:val="0096357A"/>
    <w:rsid w:val="0096403B"/>
    <w:rsid w:val="00964069"/>
    <w:rsid w:val="00970E48"/>
    <w:rsid w:val="0097205A"/>
    <w:rsid w:val="00974690"/>
    <w:rsid w:val="009813AA"/>
    <w:rsid w:val="009864A3"/>
    <w:rsid w:val="00986AD3"/>
    <w:rsid w:val="00991F26"/>
    <w:rsid w:val="00993B5D"/>
    <w:rsid w:val="00995547"/>
    <w:rsid w:val="00996EFD"/>
    <w:rsid w:val="009976AB"/>
    <w:rsid w:val="009A22FF"/>
    <w:rsid w:val="009A249D"/>
    <w:rsid w:val="009A2A30"/>
    <w:rsid w:val="009A394F"/>
    <w:rsid w:val="009A39C7"/>
    <w:rsid w:val="009B2203"/>
    <w:rsid w:val="009B6B82"/>
    <w:rsid w:val="009C3396"/>
    <w:rsid w:val="009D1DE5"/>
    <w:rsid w:val="009D4AE1"/>
    <w:rsid w:val="009D58B8"/>
    <w:rsid w:val="009E3323"/>
    <w:rsid w:val="009E4D17"/>
    <w:rsid w:val="009E58A9"/>
    <w:rsid w:val="009F6539"/>
    <w:rsid w:val="00A01941"/>
    <w:rsid w:val="00A04978"/>
    <w:rsid w:val="00A129D8"/>
    <w:rsid w:val="00A22E8F"/>
    <w:rsid w:val="00A2532D"/>
    <w:rsid w:val="00A26933"/>
    <w:rsid w:val="00A309AC"/>
    <w:rsid w:val="00A30D90"/>
    <w:rsid w:val="00A358BB"/>
    <w:rsid w:val="00A4198D"/>
    <w:rsid w:val="00A42953"/>
    <w:rsid w:val="00A502FF"/>
    <w:rsid w:val="00A53564"/>
    <w:rsid w:val="00A55812"/>
    <w:rsid w:val="00A6049D"/>
    <w:rsid w:val="00A650AD"/>
    <w:rsid w:val="00A65F41"/>
    <w:rsid w:val="00A664E3"/>
    <w:rsid w:val="00A73E00"/>
    <w:rsid w:val="00A80DD1"/>
    <w:rsid w:val="00A812F1"/>
    <w:rsid w:val="00A81CB7"/>
    <w:rsid w:val="00A82362"/>
    <w:rsid w:val="00A82B79"/>
    <w:rsid w:val="00A86267"/>
    <w:rsid w:val="00A90BF7"/>
    <w:rsid w:val="00A959C6"/>
    <w:rsid w:val="00A960FC"/>
    <w:rsid w:val="00A97191"/>
    <w:rsid w:val="00AA2981"/>
    <w:rsid w:val="00AB088D"/>
    <w:rsid w:val="00AB2292"/>
    <w:rsid w:val="00AB2721"/>
    <w:rsid w:val="00AB5195"/>
    <w:rsid w:val="00AC028E"/>
    <w:rsid w:val="00AC137B"/>
    <w:rsid w:val="00AC1EB1"/>
    <w:rsid w:val="00AC5192"/>
    <w:rsid w:val="00AE2F7B"/>
    <w:rsid w:val="00AF00A6"/>
    <w:rsid w:val="00AF5325"/>
    <w:rsid w:val="00B0571B"/>
    <w:rsid w:val="00B06B53"/>
    <w:rsid w:val="00B14E21"/>
    <w:rsid w:val="00B15783"/>
    <w:rsid w:val="00B15907"/>
    <w:rsid w:val="00B16BA3"/>
    <w:rsid w:val="00B16F51"/>
    <w:rsid w:val="00B2122E"/>
    <w:rsid w:val="00B3765C"/>
    <w:rsid w:val="00B40C06"/>
    <w:rsid w:val="00B42C35"/>
    <w:rsid w:val="00B43A42"/>
    <w:rsid w:val="00B43FC7"/>
    <w:rsid w:val="00B46ADC"/>
    <w:rsid w:val="00B551F3"/>
    <w:rsid w:val="00B56ABA"/>
    <w:rsid w:val="00B56C0A"/>
    <w:rsid w:val="00B60E0C"/>
    <w:rsid w:val="00B6561D"/>
    <w:rsid w:val="00B65BD7"/>
    <w:rsid w:val="00B65DEB"/>
    <w:rsid w:val="00B66C8C"/>
    <w:rsid w:val="00B727AF"/>
    <w:rsid w:val="00B734C0"/>
    <w:rsid w:val="00B74A0A"/>
    <w:rsid w:val="00BA114F"/>
    <w:rsid w:val="00BA2690"/>
    <w:rsid w:val="00BA68DA"/>
    <w:rsid w:val="00BA782C"/>
    <w:rsid w:val="00BB31BE"/>
    <w:rsid w:val="00BB4A24"/>
    <w:rsid w:val="00BB6284"/>
    <w:rsid w:val="00BB68BA"/>
    <w:rsid w:val="00BC4C0A"/>
    <w:rsid w:val="00BD2A93"/>
    <w:rsid w:val="00BE6ECE"/>
    <w:rsid w:val="00BF35AF"/>
    <w:rsid w:val="00BF7581"/>
    <w:rsid w:val="00C00576"/>
    <w:rsid w:val="00C009E7"/>
    <w:rsid w:val="00C11F15"/>
    <w:rsid w:val="00C17678"/>
    <w:rsid w:val="00C20E1F"/>
    <w:rsid w:val="00C22A98"/>
    <w:rsid w:val="00C23DFF"/>
    <w:rsid w:val="00C25974"/>
    <w:rsid w:val="00C27BF8"/>
    <w:rsid w:val="00C339DF"/>
    <w:rsid w:val="00C345D8"/>
    <w:rsid w:val="00C359A2"/>
    <w:rsid w:val="00C41FAF"/>
    <w:rsid w:val="00C43FB2"/>
    <w:rsid w:val="00C55339"/>
    <w:rsid w:val="00C56ED3"/>
    <w:rsid w:val="00C671A1"/>
    <w:rsid w:val="00C672B6"/>
    <w:rsid w:val="00C77DDD"/>
    <w:rsid w:val="00C827E5"/>
    <w:rsid w:val="00C8744C"/>
    <w:rsid w:val="00C91813"/>
    <w:rsid w:val="00C921FC"/>
    <w:rsid w:val="00C94B71"/>
    <w:rsid w:val="00CA0F2B"/>
    <w:rsid w:val="00CA48FB"/>
    <w:rsid w:val="00CA4DE8"/>
    <w:rsid w:val="00CA6784"/>
    <w:rsid w:val="00CB52F4"/>
    <w:rsid w:val="00CB70BB"/>
    <w:rsid w:val="00CC14C5"/>
    <w:rsid w:val="00CD282B"/>
    <w:rsid w:val="00CF49E6"/>
    <w:rsid w:val="00D05280"/>
    <w:rsid w:val="00D059C5"/>
    <w:rsid w:val="00D12608"/>
    <w:rsid w:val="00D16195"/>
    <w:rsid w:val="00D17427"/>
    <w:rsid w:val="00D17785"/>
    <w:rsid w:val="00D22064"/>
    <w:rsid w:val="00D31F7F"/>
    <w:rsid w:val="00D322CB"/>
    <w:rsid w:val="00D43906"/>
    <w:rsid w:val="00D510B9"/>
    <w:rsid w:val="00D52E51"/>
    <w:rsid w:val="00D536A6"/>
    <w:rsid w:val="00D53F9D"/>
    <w:rsid w:val="00D62E07"/>
    <w:rsid w:val="00D648B3"/>
    <w:rsid w:val="00D67538"/>
    <w:rsid w:val="00D703AD"/>
    <w:rsid w:val="00D70918"/>
    <w:rsid w:val="00DA280E"/>
    <w:rsid w:val="00DA2D5D"/>
    <w:rsid w:val="00DA4DF4"/>
    <w:rsid w:val="00DA7822"/>
    <w:rsid w:val="00DB2E93"/>
    <w:rsid w:val="00DB3BF6"/>
    <w:rsid w:val="00DC12BA"/>
    <w:rsid w:val="00DC7141"/>
    <w:rsid w:val="00DD09E4"/>
    <w:rsid w:val="00DD2EBA"/>
    <w:rsid w:val="00DE5AF9"/>
    <w:rsid w:val="00DE6B19"/>
    <w:rsid w:val="00DF1523"/>
    <w:rsid w:val="00DF6307"/>
    <w:rsid w:val="00DF7AC9"/>
    <w:rsid w:val="00E068E5"/>
    <w:rsid w:val="00E1024E"/>
    <w:rsid w:val="00E10DDC"/>
    <w:rsid w:val="00E1226D"/>
    <w:rsid w:val="00E129D4"/>
    <w:rsid w:val="00E1383F"/>
    <w:rsid w:val="00E21C91"/>
    <w:rsid w:val="00E2220A"/>
    <w:rsid w:val="00E34749"/>
    <w:rsid w:val="00E4290D"/>
    <w:rsid w:val="00E45BD2"/>
    <w:rsid w:val="00E473F7"/>
    <w:rsid w:val="00E47564"/>
    <w:rsid w:val="00E502CB"/>
    <w:rsid w:val="00E52EBD"/>
    <w:rsid w:val="00E54BFE"/>
    <w:rsid w:val="00E55190"/>
    <w:rsid w:val="00E60AC1"/>
    <w:rsid w:val="00E61039"/>
    <w:rsid w:val="00E70FD8"/>
    <w:rsid w:val="00E72B54"/>
    <w:rsid w:val="00E75617"/>
    <w:rsid w:val="00E7780A"/>
    <w:rsid w:val="00E81F46"/>
    <w:rsid w:val="00E81FD3"/>
    <w:rsid w:val="00E869CA"/>
    <w:rsid w:val="00E87FB4"/>
    <w:rsid w:val="00E87FD8"/>
    <w:rsid w:val="00EA16F4"/>
    <w:rsid w:val="00EA2296"/>
    <w:rsid w:val="00EB3720"/>
    <w:rsid w:val="00EC5641"/>
    <w:rsid w:val="00EC63D0"/>
    <w:rsid w:val="00ED2D28"/>
    <w:rsid w:val="00EE1055"/>
    <w:rsid w:val="00EE46AE"/>
    <w:rsid w:val="00EF7FAD"/>
    <w:rsid w:val="00F01D83"/>
    <w:rsid w:val="00F07D33"/>
    <w:rsid w:val="00F10BB2"/>
    <w:rsid w:val="00F14588"/>
    <w:rsid w:val="00F20C43"/>
    <w:rsid w:val="00F257BA"/>
    <w:rsid w:val="00F25E7C"/>
    <w:rsid w:val="00F3237E"/>
    <w:rsid w:val="00F325F8"/>
    <w:rsid w:val="00F32B0E"/>
    <w:rsid w:val="00F35ADF"/>
    <w:rsid w:val="00F371CA"/>
    <w:rsid w:val="00F4660F"/>
    <w:rsid w:val="00F57C1E"/>
    <w:rsid w:val="00F67451"/>
    <w:rsid w:val="00F71B5C"/>
    <w:rsid w:val="00F741B5"/>
    <w:rsid w:val="00F75299"/>
    <w:rsid w:val="00F75FF7"/>
    <w:rsid w:val="00F923B8"/>
    <w:rsid w:val="00F93D58"/>
    <w:rsid w:val="00FA1FAB"/>
    <w:rsid w:val="00FA418D"/>
    <w:rsid w:val="00FC078A"/>
    <w:rsid w:val="00FC1979"/>
    <w:rsid w:val="00FD029B"/>
    <w:rsid w:val="00FD0729"/>
    <w:rsid w:val="00FD15DB"/>
    <w:rsid w:val="00FD166C"/>
    <w:rsid w:val="00FD3290"/>
    <w:rsid w:val="00FD78B0"/>
    <w:rsid w:val="00FE151B"/>
    <w:rsid w:val="00FE2D83"/>
    <w:rsid w:val="00FE51A5"/>
    <w:rsid w:val="00FF436F"/>
    <w:rsid w:val="00FF585A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CFE2E"/>
  <w15:docId w15:val="{16B9F670-0478-426B-BE8F-1C65899B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5AE"/>
    <w:rPr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5AE"/>
    <w:rPr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5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59A2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邱顯比</cp:lastModifiedBy>
  <cp:revision>19</cp:revision>
  <cp:lastPrinted>2022-01-07T04:32:00Z</cp:lastPrinted>
  <dcterms:created xsi:type="dcterms:W3CDTF">2021-11-08T01:55:00Z</dcterms:created>
  <dcterms:modified xsi:type="dcterms:W3CDTF">2022-01-07T04:33:00Z</dcterms:modified>
</cp:coreProperties>
</file>