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67" w:rsidRPr="00464873" w:rsidRDefault="002B7080" w:rsidP="00BF430D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464873">
        <w:rPr>
          <w:rFonts w:ascii="標楷體" w:eastAsia="標楷體" w:hAnsi="標楷體" w:hint="eastAsia"/>
          <w:b/>
          <w:sz w:val="32"/>
          <w:szCs w:val="32"/>
        </w:rPr>
        <w:t>股票型基金七月春燕乍現，仍無力挽回上半年頹勢</w:t>
      </w:r>
    </w:p>
    <w:p w:rsidR="00BF430D" w:rsidRPr="00464873" w:rsidRDefault="00BF430D" w:rsidP="00C91767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464873">
        <w:rPr>
          <w:rFonts w:ascii="標楷體" w:eastAsia="標楷體" w:hAnsi="標楷體" w:hint="eastAsia"/>
          <w:b/>
          <w:sz w:val="32"/>
          <w:szCs w:val="32"/>
        </w:rPr>
        <w:t>李存修  邱顯比</w:t>
      </w:r>
    </w:p>
    <w:p w:rsidR="0077127E" w:rsidRPr="00464873" w:rsidRDefault="001F76E2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美國七月所公布的六月CPI及PCE居高不下，聯準會如市場預期再度調高聯邦資金利率三碼，但股市淡定未受衝擊，強勢美元反有緩和跡象。油市平穩，每桶在100美元附近上下震盪，債市各天期收益率逐步下滑，七月底時，美國二年期、五年期、十年期收益率分別為2.92%、2.70%、2.67%，收益率曲線呈現負斜率，隱約暗示著經濟成長不太樂觀，的確也看到了第二季美國GDP再度負成長(-0.9%)，使得今年上半年連續二季負成長</w:t>
      </w:r>
      <w:r w:rsidR="005456B4" w:rsidRPr="00464873">
        <w:rPr>
          <w:rFonts w:ascii="標楷體" w:eastAsia="標楷體" w:hAnsi="標楷體" w:hint="eastAsia"/>
          <w:sz w:val="28"/>
        </w:rPr>
        <w:t>，</w:t>
      </w:r>
      <w:r w:rsidRPr="00464873">
        <w:rPr>
          <w:rFonts w:ascii="標楷體" w:eastAsia="標楷體" w:hAnsi="標楷體" w:hint="eastAsia"/>
          <w:sz w:val="28"/>
        </w:rPr>
        <w:t>達到「衰退」的標準，只是就業率數據仍然亮麗，或</w:t>
      </w:r>
      <w:r w:rsidR="00464873" w:rsidRPr="00464873">
        <w:rPr>
          <w:rFonts w:ascii="標楷體" w:eastAsia="標楷體" w:hAnsi="標楷體" w:hint="eastAsia"/>
          <w:sz w:val="28"/>
        </w:rPr>
        <w:t>許反映出就</w:t>
      </w:r>
      <w:r w:rsidRPr="00464873">
        <w:rPr>
          <w:rFonts w:ascii="標楷體" w:eastAsia="標楷體" w:hAnsi="標楷體" w:hint="eastAsia"/>
          <w:sz w:val="28"/>
        </w:rPr>
        <w:t>業市場的結構性變化。美國NASDAQ</w:t>
      </w:r>
      <w:r w:rsidR="005456B4" w:rsidRPr="00464873">
        <w:rPr>
          <w:rFonts w:ascii="標楷體" w:eastAsia="標楷體" w:hAnsi="標楷體" w:hint="eastAsia"/>
          <w:sz w:val="28"/>
        </w:rPr>
        <w:t>指數</w:t>
      </w:r>
      <w:r w:rsidRPr="00464873">
        <w:rPr>
          <w:rFonts w:ascii="標楷體" w:eastAsia="標楷體" w:hAnsi="標楷體" w:hint="eastAsia"/>
          <w:sz w:val="28"/>
        </w:rPr>
        <w:t>七月強漲12.35%，S&amp;P 500也反彈了9.11%，MSCI含息世界指數也回溫7.02%，為今年以來最佳的單月表現。</w:t>
      </w:r>
    </w:p>
    <w:p w:rsidR="001F76E2" w:rsidRPr="00464873" w:rsidRDefault="001F76E2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台股七月中曾跌破萬四整數關卡，在國安基金宣布進場護盤之後，指數於七月底反彈至萬五，總計全月加權股價報酬指數上揚3.08%，惟今年前七個月仍下跌14.55%。日本、歐洲七月中也都上漲，唯獨中國股市滬深300指數七月下挫7.02%，扭轉了第二季的漲勢。</w:t>
      </w:r>
    </w:p>
    <w:p w:rsidR="00E42106" w:rsidRPr="00464873" w:rsidRDefault="00F47D76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216檔投資國內的股票型基金在七月中繳出了平均+2.40%的正報酬成績單，其中(不含ETF)以中概</w:t>
      </w:r>
      <w:r w:rsidR="00A771C7">
        <w:rPr>
          <w:rFonts w:ascii="標楷體" w:eastAsia="標楷體" w:hAnsi="標楷體" w:hint="eastAsia"/>
          <w:sz w:val="28"/>
        </w:rPr>
        <w:t>股</w:t>
      </w:r>
      <w:r w:rsidRPr="00464873">
        <w:rPr>
          <w:rFonts w:ascii="標楷體" w:eastAsia="標楷體" w:hAnsi="標楷體" w:hint="eastAsia"/>
          <w:sz w:val="28"/>
        </w:rPr>
        <w:t>型表現最佳，單月平均+3.35%，</w:t>
      </w:r>
      <w:r w:rsidRPr="00464873">
        <w:rPr>
          <w:rFonts w:ascii="標楷體" w:eastAsia="標楷體" w:hAnsi="標楷體" w:hint="eastAsia"/>
          <w:sz w:val="28"/>
        </w:rPr>
        <w:lastRenderedPageBreak/>
        <w:t>優於加權股價報酬指數，科技</w:t>
      </w:r>
      <w:r w:rsidR="00A771C7">
        <w:rPr>
          <w:rFonts w:ascii="標楷體" w:eastAsia="標楷體" w:hAnsi="標楷體" w:hint="eastAsia"/>
          <w:sz w:val="28"/>
        </w:rPr>
        <w:t>類</w:t>
      </w:r>
      <w:r w:rsidRPr="00464873">
        <w:rPr>
          <w:rFonts w:ascii="標楷體" w:eastAsia="標楷體" w:hAnsi="標楷體" w:hint="eastAsia"/>
          <w:sz w:val="28"/>
        </w:rPr>
        <w:t>單月+2.72%，但低於含息指數</w:t>
      </w:r>
      <w:r w:rsidR="007424FB" w:rsidRPr="00464873">
        <w:rPr>
          <w:rFonts w:ascii="標楷體" w:eastAsia="標楷體" w:hAnsi="標楷體" w:hint="eastAsia"/>
          <w:sz w:val="28"/>
        </w:rPr>
        <w:t>，也低於電子報酬指數。整體而言，正報酬之基金占比高達91%，但優於大盤(含息)者僅38%。</w:t>
      </w:r>
    </w:p>
    <w:p w:rsidR="007424FB" w:rsidRPr="00464873" w:rsidRDefault="007424FB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 xml:space="preserve">跨國投資之股票型基金七月之月報酬達3.09%，除了大中區域型及中國大陸A股基金外，其餘各類型基金平均月報酬均為正數，尤以美國基金平均月長11.71%最為強勁，日本平均月長7.04%亦屬亮眼，全球一般股票型月漲6.54%(全部幣別，以下同)，略遜於MSCI </w:t>
      </w:r>
      <w:r w:rsidRPr="00464873">
        <w:rPr>
          <w:rFonts w:ascii="標楷體" w:eastAsia="標楷體" w:hAnsi="標楷體"/>
          <w:sz w:val="28"/>
        </w:rPr>
        <w:t>World Index-Gross</w:t>
      </w:r>
      <w:r w:rsidRPr="00464873">
        <w:rPr>
          <w:rFonts w:ascii="標楷體" w:eastAsia="標楷體" w:hAnsi="標楷體" w:hint="eastAsia"/>
          <w:sz w:val="28"/>
        </w:rPr>
        <w:t>。歐洲區域型平均月漲6.13%，優於MSCI歐洲指數。大中華區月均-3.89%，中國大陸A股月均-5.71%，是較為弱勢的族群。</w:t>
      </w:r>
    </w:p>
    <w:p w:rsidR="007424FB" w:rsidRPr="00464873" w:rsidRDefault="007424FB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七月中跨國投資的全球型</w:t>
      </w:r>
      <w:r w:rsidR="00A771C7">
        <w:rPr>
          <w:rFonts w:ascii="標楷體" w:eastAsia="標楷體" w:hAnsi="標楷體" w:hint="eastAsia"/>
          <w:sz w:val="28"/>
        </w:rPr>
        <w:t>債券股票</w:t>
      </w:r>
      <w:r w:rsidRPr="00464873">
        <w:rPr>
          <w:rFonts w:ascii="標楷體" w:eastAsia="標楷體" w:hAnsi="標楷體" w:hint="eastAsia"/>
          <w:sz w:val="28"/>
        </w:rPr>
        <w:t>平衡型基金(+4.49%)優於投資國內的</w:t>
      </w:r>
      <w:r w:rsidR="00A771C7">
        <w:rPr>
          <w:rFonts w:ascii="標楷體" w:eastAsia="標楷體" w:hAnsi="標楷體" w:hint="eastAsia"/>
          <w:sz w:val="28"/>
        </w:rPr>
        <w:t>債券股票</w:t>
      </w:r>
      <w:r w:rsidRPr="00464873">
        <w:rPr>
          <w:rFonts w:ascii="標楷體" w:eastAsia="標楷體" w:hAnsi="標楷體" w:hint="eastAsia"/>
          <w:sz w:val="28"/>
        </w:rPr>
        <w:t>平衡型基金(+0.93%)，主因在於債券收益率下跌，造成股債雙漲的榮景。多重資產型基金也有+4.06%的月績效表</w:t>
      </w:r>
      <w:r w:rsidR="005456B4" w:rsidRPr="00464873">
        <w:rPr>
          <w:rFonts w:ascii="標楷體" w:eastAsia="標楷體" w:hAnsi="標楷體" w:hint="eastAsia"/>
          <w:sz w:val="28"/>
        </w:rPr>
        <w:t>現</w:t>
      </w:r>
      <w:r w:rsidRPr="00464873">
        <w:rPr>
          <w:rFonts w:ascii="標楷體" w:eastAsia="標楷體" w:hAnsi="標楷體" w:hint="eastAsia"/>
          <w:sz w:val="28"/>
        </w:rPr>
        <w:t>。</w:t>
      </w:r>
    </w:p>
    <w:p w:rsidR="007424FB" w:rsidRPr="00464873" w:rsidRDefault="007424FB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投資等</w:t>
      </w:r>
      <w:r w:rsidR="005456B4" w:rsidRPr="00464873">
        <w:rPr>
          <w:rFonts w:ascii="標楷體" w:eastAsia="標楷體" w:hAnsi="標楷體" w:hint="eastAsia"/>
          <w:sz w:val="28"/>
        </w:rPr>
        <w:t>級</w:t>
      </w:r>
      <w:r w:rsidRPr="00464873">
        <w:rPr>
          <w:rFonts w:ascii="標楷體" w:eastAsia="標楷體" w:hAnsi="標楷體" w:hint="eastAsia"/>
          <w:sz w:val="28"/>
        </w:rPr>
        <w:t>債基金七月中僅亞洲新興市場(-0.40%)</w:t>
      </w:r>
      <w:r w:rsidR="00A771C7">
        <w:rPr>
          <w:rFonts w:ascii="標楷體" w:eastAsia="標楷體" w:hAnsi="標楷體" w:hint="eastAsia"/>
          <w:sz w:val="28"/>
        </w:rPr>
        <w:t>、</w:t>
      </w:r>
      <w:r w:rsidRPr="00464873">
        <w:rPr>
          <w:rFonts w:ascii="標楷體" w:eastAsia="標楷體" w:hAnsi="標楷體" w:hint="eastAsia"/>
          <w:sz w:val="28"/>
        </w:rPr>
        <w:t>中國大陸</w:t>
      </w:r>
      <w:r w:rsidR="00A771C7">
        <w:rPr>
          <w:rFonts w:ascii="標楷體" w:eastAsia="標楷體" w:hAnsi="標楷體" w:hint="eastAsia"/>
          <w:sz w:val="28"/>
        </w:rPr>
        <w:t xml:space="preserve">   </w:t>
      </w:r>
      <w:r w:rsidRPr="00464873">
        <w:rPr>
          <w:rFonts w:ascii="標楷體" w:eastAsia="標楷體" w:hAnsi="標楷體" w:hint="eastAsia"/>
          <w:sz w:val="28"/>
        </w:rPr>
        <w:t>(-0.80%)</w:t>
      </w:r>
      <w:r w:rsidR="00A771C7">
        <w:rPr>
          <w:rFonts w:ascii="標楷體" w:eastAsia="標楷體" w:hAnsi="標楷體" w:hint="eastAsia"/>
          <w:sz w:val="28"/>
        </w:rPr>
        <w:t>及目標到期型(-0.29)</w:t>
      </w:r>
      <w:r w:rsidRPr="00464873">
        <w:rPr>
          <w:rFonts w:ascii="標楷體" w:eastAsia="標楷體" w:hAnsi="標楷體" w:hint="eastAsia"/>
          <w:sz w:val="28"/>
        </w:rPr>
        <w:t>小幅</w:t>
      </w:r>
      <w:r w:rsidR="00D84B73" w:rsidRPr="00464873">
        <w:rPr>
          <w:rFonts w:ascii="標楷體" w:eastAsia="標楷體" w:hAnsi="標楷體" w:hint="eastAsia"/>
          <w:sz w:val="28"/>
        </w:rPr>
        <w:t>下跌，其餘收漲，尤以美國及全球型投資等級債分別月漲3.51%及2.88%，一吐上半年的悶氣。非投資等級債方面較為兩極化，全球型平均月漲4.67%，亞洲及中國大陸分別月跌4.08%與3.80%。債券ETF平均月漲4.15%，績效突出。</w:t>
      </w:r>
    </w:p>
    <w:p w:rsidR="00D84B73" w:rsidRPr="00464873" w:rsidRDefault="00D84B73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各類型組合型基金中七月之平均報酬全數為正，跨國股票組合優於國內組合，也優於平衡組合、債券組合及目標日期組合，債券組合中，投資等級與非投資等級績效約略相當，且二者均優於複合式組合。不動產證券化型基金七月中獲利6.17%，表現亦佳。</w:t>
      </w:r>
    </w:p>
    <w:p w:rsidR="00684EBA" w:rsidRPr="00464873" w:rsidRDefault="00684EBA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年初迄七月底，加權股價報酬指數仍然下跌14.55%，全球主要股</w:t>
      </w:r>
      <w:r w:rsidR="00E00D1A" w:rsidRPr="00464873">
        <w:rPr>
          <w:rFonts w:ascii="標楷體" w:eastAsia="標楷體" w:hAnsi="標楷體" w:hint="eastAsia"/>
          <w:sz w:val="28"/>
        </w:rPr>
        <w:t>價</w:t>
      </w:r>
      <w:r w:rsidRPr="00464873">
        <w:rPr>
          <w:rFonts w:ascii="標楷體" w:eastAsia="標楷體" w:hAnsi="標楷體" w:hint="eastAsia"/>
          <w:sz w:val="28"/>
        </w:rPr>
        <w:t>指數也無一有正報酬，在此氛圍下，台股基金不但無法帶來好績效，年初迄今平均-23.29%，比含息大盤落後達8.74%，頗為掉漆，</w:t>
      </w:r>
      <w:r w:rsidR="00E00D1A" w:rsidRPr="00464873">
        <w:rPr>
          <w:rFonts w:ascii="標楷體" w:eastAsia="標楷體" w:hAnsi="標楷體" w:hint="eastAsia"/>
          <w:sz w:val="28"/>
        </w:rPr>
        <w:t>科技</w:t>
      </w:r>
      <w:r w:rsidR="00F317B4">
        <w:rPr>
          <w:rFonts w:ascii="標楷體" w:eastAsia="標楷體" w:hAnsi="標楷體" w:hint="eastAsia"/>
          <w:sz w:val="28"/>
        </w:rPr>
        <w:t>類</w:t>
      </w:r>
      <w:r w:rsidR="00E00D1A" w:rsidRPr="00464873">
        <w:rPr>
          <w:rFonts w:ascii="標楷體" w:eastAsia="標楷體" w:hAnsi="標楷體" w:hint="eastAsia"/>
          <w:sz w:val="28"/>
        </w:rPr>
        <w:t>、中小型、中概</w:t>
      </w:r>
      <w:r w:rsidR="00F317B4">
        <w:rPr>
          <w:rFonts w:ascii="標楷體" w:eastAsia="標楷體" w:hAnsi="標楷體" w:hint="eastAsia"/>
          <w:sz w:val="28"/>
        </w:rPr>
        <w:t>股</w:t>
      </w:r>
      <w:r w:rsidR="00E00D1A" w:rsidRPr="00464873">
        <w:rPr>
          <w:rFonts w:ascii="標楷體" w:eastAsia="標楷體" w:hAnsi="標楷體" w:hint="eastAsia"/>
          <w:sz w:val="28"/>
        </w:rPr>
        <w:t>型、上櫃</w:t>
      </w:r>
      <w:r w:rsidR="00F317B4">
        <w:rPr>
          <w:rFonts w:ascii="標楷體" w:eastAsia="標楷體" w:hAnsi="標楷體" w:hint="eastAsia"/>
          <w:sz w:val="28"/>
        </w:rPr>
        <w:t>股票</w:t>
      </w:r>
      <w:r w:rsidR="00E00D1A" w:rsidRPr="00464873">
        <w:rPr>
          <w:rFonts w:ascii="標楷體" w:eastAsia="標楷體" w:hAnsi="標楷體" w:hint="eastAsia"/>
          <w:sz w:val="28"/>
        </w:rPr>
        <w:t>型之今年前七月累積虧損均在26%以上，受傷最輕微的是價值型</w:t>
      </w:r>
      <w:r w:rsidR="005456B4" w:rsidRPr="00464873">
        <w:rPr>
          <w:rFonts w:ascii="標楷體" w:eastAsia="標楷體" w:hAnsi="標楷體" w:hint="eastAsia"/>
          <w:sz w:val="28"/>
        </w:rPr>
        <w:t>，但</w:t>
      </w:r>
      <w:r w:rsidR="00E00D1A" w:rsidRPr="00464873">
        <w:rPr>
          <w:rFonts w:ascii="標楷體" w:eastAsia="標楷體" w:hAnsi="標楷體" w:hint="eastAsia"/>
          <w:sz w:val="28"/>
        </w:rPr>
        <w:t>也虧損17.73%。能締造正報酬的四檔基金全數是反向型ETF，累積報酬平均達12.94%。</w:t>
      </w:r>
    </w:p>
    <w:p w:rsidR="00E00D1A" w:rsidRPr="00464873" w:rsidRDefault="00080AEC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跨國投資的股票型基金也是一片慘綠，648檔平均前七個月累積報酬-15.04%，大中華區及美國分別下跌20.54%與20.31%(全部幣別，以下同)為重災區，其餘依序為中國A股-18.60%、全球</w:t>
      </w:r>
      <w:r w:rsidR="00F317B4">
        <w:rPr>
          <w:rFonts w:ascii="標楷體" w:eastAsia="標楷體" w:hAnsi="標楷體" w:hint="eastAsia"/>
          <w:sz w:val="28"/>
        </w:rPr>
        <w:t>一般股票</w:t>
      </w:r>
      <w:r w:rsidRPr="00464873">
        <w:rPr>
          <w:rFonts w:ascii="標楷體" w:eastAsia="標楷體" w:hAnsi="標楷體" w:hint="eastAsia"/>
          <w:sz w:val="28"/>
        </w:rPr>
        <w:t>型</w:t>
      </w:r>
      <w:r w:rsidR="00F317B4">
        <w:rPr>
          <w:rFonts w:ascii="標楷體" w:eastAsia="標楷體" w:hAnsi="標楷體" w:hint="eastAsia"/>
          <w:sz w:val="28"/>
        </w:rPr>
        <w:t xml:space="preserve">   </w:t>
      </w:r>
      <w:r w:rsidRPr="00464873">
        <w:rPr>
          <w:rFonts w:ascii="標楷體" w:eastAsia="標楷體" w:hAnsi="標楷體" w:hint="eastAsia"/>
          <w:sz w:val="28"/>
        </w:rPr>
        <w:t>-17.75%、日本-17.60%、亞</w:t>
      </w:r>
      <w:r w:rsidR="007062BA">
        <w:rPr>
          <w:rFonts w:ascii="標楷體" w:eastAsia="標楷體" w:hAnsi="標楷體" w:hint="eastAsia"/>
          <w:sz w:val="28"/>
        </w:rPr>
        <w:t>洲</w:t>
      </w:r>
      <w:r w:rsidRPr="00464873">
        <w:rPr>
          <w:rFonts w:ascii="標楷體" w:eastAsia="標楷體" w:hAnsi="標楷體" w:hint="eastAsia"/>
          <w:sz w:val="28"/>
        </w:rPr>
        <w:t>區域型-15.59%、新興</w:t>
      </w:r>
      <w:r w:rsidR="005456B4" w:rsidRPr="00464873">
        <w:rPr>
          <w:rFonts w:ascii="標楷體" w:eastAsia="標楷體" w:hAnsi="標楷體" w:hint="eastAsia"/>
          <w:sz w:val="28"/>
        </w:rPr>
        <w:t>市</w:t>
      </w:r>
      <w:r w:rsidRPr="00464873">
        <w:rPr>
          <w:rFonts w:ascii="標楷體" w:eastAsia="標楷體" w:hAnsi="標楷體" w:hint="eastAsia"/>
          <w:sz w:val="28"/>
        </w:rPr>
        <w:t>場-13.25%、歐洲區域型-12.63%等，只有全球資源型受惠於上半年原物料、能源、農糧價格的上漲，累積前七個月平均上漲3.97%。</w:t>
      </w:r>
    </w:p>
    <w:p w:rsidR="00080AEC" w:rsidRPr="00464873" w:rsidRDefault="00080AEC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而因今年上半年股債雙跌，平衡型基金的跌幅並未比股票型基金少多少，國內平衡型基金年初迄七月累積跌幅為17.62%、全球型之跌幅為12.12%，各類跨國平衡型基金之七個月累積跌幅也都在12.75%至15.12%之間。</w:t>
      </w:r>
    </w:p>
    <w:p w:rsidR="00080AEC" w:rsidRPr="00464873" w:rsidRDefault="00080AEC" w:rsidP="0020213C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64873">
        <w:rPr>
          <w:rFonts w:ascii="標楷體" w:eastAsia="標楷體" w:hAnsi="標楷體" w:hint="eastAsia"/>
          <w:sz w:val="28"/>
        </w:rPr>
        <w:t>七月中債券收益率雖下跌，但仍不足以挽回上半年債券型基金的頹勢。就投資等級債而言，全球新興市場累積下跌13.27%，受傷最重，亞洲新興市場與目標到期型之虧損也達兩位數以上，表現較好者為短期型的-2.35%、全球型的-</w:t>
      </w:r>
      <w:r w:rsidR="007D31C1">
        <w:rPr>
          <w:rFonts w:ascii="標楷體" w:eastAsia="標楷體" w:hAnsi="標楷體" w:hint="eastAsia"/>
          <w:sz w:val="28"/>
        </w:rPr>
        <w:t>8.86</w:t>
      </w:r>
      <w:bookmarkStart w:id="0" w:name="_GoBack"/>
      <w:bookmarkEnd w:id="0"/>
      <w:r w:rsidRPr="00464873">
        <w:rPr>
          <w:rFonts w:ascii="標楷體" w:eastAsia="標楷體" w:hAnsi="標楷體" w:hint="eastAsia"/>
          <w:sz w:val="28"/>
        </w:rPr>
        <w:t>%、美國的-7.65%以及中國大陸的     -5.42% 。非投資等級債基金方面，今年前七月亞洲區域型重挫26.62%</w:t>
      </w:r>
      <w:r w:rsidR="004012A9" w:rsidRPr="00464873">
        <w:rPr>
          <w:rFonts w:ascii="標楷體" w:eastAsia="標楷體" w:hAnsi="標楷體" w:hint="eastAsia"/>
          <w:sz w:val="28"/>
        </w:rPr>
        <w:t>最為慘烈，中國大陸-20.74%也不遑多讓，跌幅較輕的為全球型的</w:t>
      </w:r>
      <w:r w:rsidR="007062BA">
        <w:rPr>
          <w:rFonts w:ascii="標楷體" w:eastAsia="標楷體" w:hAnsi="標楷體" w:hint="eastAsia"/>
          <w:sz w:val="28"/>
        </w:rPr>
        <w:t xml:space="preserve">    </w:t>
      </w:r>
      <w:r w:rsidR="004012A9" w:rsidRPr="00464873">
        <w:rPr>
          <w:rFonts w:ascii="標楷體" w:eastAsia="標楷體" w:hAnsi="標楷體" w:hint="eastAsia"/>
          <w:sz w:val="28"/>
        </w:rPr>
        <w:t>-9.05%。不動產證券化型基金之累積跌幅也達9.84%，而受惠於各國升息對抗通膨</w:t>
      </w:r>
      <w:r w:rsidR="005456B4" w:rsidRPr="00464873">
        <w:rPr>
          <w:rFonts w:ascii="標楷體" w:eastAsia="標楷體" w:hAnsi="標楷體" w:hint="eastAsia"/>
          <w:sz w:val="28"/>
        </w:rPr>
        <w:t>以及台幣的貶值</w:t>
      </w:r>
      <w:r w:rsidR="004012A9" w:rsidRPr="00464873">
        <w:rPr>
          <w:rFonts w:ascii="標楷體" w:eastAsia="標楷體" w:hAnsi="標楷體" w:hint="eastAsia"/>
          <w:sz w:val="28"/>
        </w:rPr>
        <w:t>，海外貨幣市場共同基金前七個月累積增值了2.08%。</w:t>
      </w:r>
    </w:p>
    <w:sectPr w:rsidR="00080AEC" w:rsidRPr="004648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42" w:rsidRDefault="00C72D42" w:rsidP="00E87F9C">
      <w:r>
        <w:separator/>
      </w:r>
    </w:p>
  </w:endnote>
  <w:endnote w:type="continuationSeparator" w:id="0">
    <w:p w:rsidR="00C72D42" w:rsidRDefault="00C72D42" w:rsidP="00E8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85223"/>
      <w:docPartObj>
        <w:docPartGallery w:val="Page Numbers (Bottom of Page)"/>
        <w:docPartUnique/>
      </w:docPartObj>
    </w:sdtPr>
    <w:sdtEndPr/>
    <w:sdtContent>
      <w:p w:rsidR="00E87F9C" w:rsidRDefault="00E87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42" w:rsidRPr="00C72D42">
          <w:rPr>
            <w:noProof/>
            <w:lang w:val="zh-TW"/>
          </w:rPr>
          <w:t>1</w:t>
        </w:r>
        <w:r>
          <w:fldChar w:fldCharType="end"/>
        </w:r>
      </w:p>
    </w:sdtContent>
  </w:sdt>
  <w:p w:rsidR="00E87F9C" w:rsidRDefault="00E87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42" w:rsidRDefault="00C72D42" w:rsidP="00E87F9C">
      <w:r>
        <w:separator/>
      </w:r>
    </w:p>
  </w:footnote>
  <w:footnote w:type="continuationSeparator" w:id="0">
    <w:p w:rsidR="00C72D42" w:rsidRDefault="00C72D42" w:rsidP="00E8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D"/>
    <w:rsid w:val="00062E1C"/>
    <w:rsid w:val="00080AEC"/>
    <w:rsid w:val="000814C1"/>
    <w:rsid w:val="00083CB3"/>
    <w:rsid w:val="000A1620"/>
    <w:rsid w:val="000C27D6"/>
    <w:rsid w:val="000C6B6C"/>
    <w:rsid w:val="000E2474"/>
    <w:rsid w:val="000E3A6F"/>
    <w:rsid w:val="001167DC"/>
    <w:rsid w:val="00120B51"/>
    <w:rsid w:val="00160BA2"/>
    <w:rsid w:val="0018444B"/>
    <w:rsid w:val="001C2B61"/>
    <w:rsid w:val="001D7CEE"/>
    <w:rsid w:val="001F4DB6"/>
    <w:rsid w:val="001F76E2"/>
    <w:rsid w:val="0020213C"/>
    <w:rsid w:val="00216BBA"/>
    <w:rsid w:val="00246EB0"/>
    <w:rsid w:val="002620F3"/>
    <w:rsid w:val="00291A27"/>
    <w:rsid w:val="002B7080"/>
    <w:rsid w:val="002D2118"/>
    <w:rsid w:val="00305424"/>
    <w:rsid w:val="003066FB"/>
    <w:rsid w:val="00351E6B"/>
    <w:rsid w:val="00362648"/>
    <w:rsid w:val="00380B9C"/>
    <w:rsid w:val="003A4AFB"/>
    <w:rsid w:val="003C59EA"/>
    <w:rsid w:val="003F19C9"/>
    <w:rsid w:val="004012A9"/>
    <w:rsid w:val="00410B9D"/>
    <w:rsid w:val="0042709B"/>
    <w:rsid w:val="004457C4"/>
    <w:rsid w:val="00464873"/>
    <w:rsid w:val="004A2CF6"/>
    <w:rsid w:val="004B05A5"/>
    <w:rsid w:val="004C41FC"/>
    <w:rsid w:val="005008E6"/>
    <w:rsid w:val="00503507"/>
    <w:rsid w:val="005456B4"/>
    <w:rsid w:val="00557B6F"/>
    <w:rsid w:val="00560861"/>
    <w:rsid w:val="0056753A"/>
    <w:rsid w:val="005A3D23"/>
    <w:rsid w:val="005D4C04"/>
    <w:rsid w:val="005E0D87"/>
    <w:rsid w:val="00615993"/>
    <w:rsid w:val="0062197C"/>
    <w:rsid w:val="006315A0"/>
    <w:rsid w:val="00681C42"/>
    <w:rsid w:val="00684EBA"/>
    <w:rsid w:val="006863CD"/>
    <w:rsid w:val="006966A5"/>
    <w:rsid w:val="006A4BFE"/>
    <w:rsid w:val="006F77F0"/>
    <w:rsid w:val="007062BA"/>
    <w:rsid w:val="00713905"/>
    <w:rsid w:val="00715297"/>
    <w:rsid w:val="0072041D"/>
    <w:rsid w:val="0072563A"/>
    <w:rsid w:val="007424FB"/>
    <w:rsid w:val="0077127E"/>
    <w:rsid w:val="007A2928"/>
    <w:rsid w:val="007A5D90"/>
    <w:rsid w:val="007D31C1"/>
    <w:rsid w:val="007F4E9C"/>
    <w:rsid w:val="00803BFA"/>
    <w:rsid w:val="00827354"/>
    <w:rsid w:val="00862B33"/>
    <w:rsid w:val="00880DDF"/>
    <w:rsid w:val="008A20DE"/>
    <w:rsid w:val="008B4A64"/>
    <w:rsid w:val="008B4C5D"/>
    <w:rsid w:val="008F210F"/>
    <w:rsid w:val="0091077B"/>
    <w:rsid w:val="00934827"/>
    <w:rsid w:val="00972D14"/>
    <w:rsid w:val="009812A0"/>
    <w:rsid w:val="00983466"/>
    <w:rsid w:val="00996B70"/>
    <w:rsid w:val="009A6BF5"/>
    <w:rsid w:val="009E1614"/>
    <w:rsid w:val="009E4AC9"/>
    <w:rsid w:val="00A03F60"/>
    <w:rsid w:val="00A13340"/>
    <w:rsid w:val="00A4076C"/>
    <w:rsid w:val="00A43AF0"/>
    <w:rsid w:val="00A54A4A"/>
    <w:rsid w:val="00A62285"/>
    <w:rsid w:val="00A721A1"/>
    <w:rsid w:val="00A771C7"/>
    <w:rsid w:val="00A8578F"/>
    <w:rsid w:val="00A86145"/>
    <w:rsid w:val="00AA3045"/>
    <w:rsid w:val="00AA3309"/>
    <w:rsid w:val="00AB26BC"/>
    <w:rsid w:val="00AF53D4"/>
    <w:rsid w:val="00AF5A27"/>
    <w:rsid w:val="00B00373"/>
    <w:rsid w:val="00B01C5A"/>
    <w:rsid w:val="00B50A35"/>
    <w:rsid w:val="00B55664"/>
    <w:rsid w:val="00B60CF4"/>
    <w:rsid w:val="00B7041A"/>
    <w:rsid w:val="00B9218E"/>
    <w:rsid w:val="00BA0A58"/>
    <w:rsid w:val="00BB7135"/>
    <w:rsid w:val="00BC7C4B"/>
    <w:rsid w:val="00BE65DE"/>
    <w:rsid w:val="00BF042D"/>
    <w:rsid w:val="00BF430D"/>
    <w:rsid w:val="00C06A40"/>
    <w:rsid w:val="00C173ED"/>
    <w:rsid w:val="00C27955"/>
    <w:rsid w:val="00C72D42"/>
    <w:rsid w:val="00C91767"/>
    <w:rsid w:val="00CE50A2"/>
    <w:rsid w:val="00CF25DA"/>
    <w:rsid w:val="00CF3CC1"/>
    <w:rsid w:val="00D01A7D"/>
    <w:rsid w:val="00D03890"/>
    <w:rsid w:val="00D11BF2"/>
    <w:rsid w:val="00D13E64"/>
    <w:rsid w:val="00D300D8"/>
    <w:rsid w:val="00D42393"/>
    <w:rsid w:val="00D46F61"/>
    <w:rsid w:val="00D739F9"/>
    <w:rsid w:val="00D81D6A"/>
    <w:rsid w:val="00D83297"/>
    <w:rsid w:val="00D84B73"/>
    <w:rsid w:val="00D878C7"/>
    <w:rsid w:val="00D918A7"/>
    <w:rsid w:val="00DD4AC6"/>
    <w:rsid w:val="00DD765F"/>
    <w:rsid w:val="00E00D1A"/>
    <w:rsid w:val="00E26477"/>
    <w:rsid w:val="00E27986"/>
    <w:rsid w:val="00E351FB"/>
    <w:rsid w:val="00E42106"/>
    <w:rsid w:val="00E6200F"/>
    <w:rsid w:val="00E85AA4"/>
    <w:rsid w:val="00E85AFE"/>
    <w:rsid w:val="00E87F9C"/>
    <w:rsid w:val="00EC1B25"/>
    <w:rsid w:val="00EC70E0"/>
    <w:rsid w:val="00EF3166"/>
    <w:rsid w:val="00F07379"/>
    <w:rsid w:val="00F27322"/>
    <w:rsid w:val="00F301C8"/>
    <w:rsid w:val="00F317B4"/>
    <w:rsid w:val="00F31CAA"/>
    <w:rsid w:val="00F47D76"/>
    <w:rsid w:val="00F619B3"/>
    <w:rsid w:val="00F70BE3"/>
    <w:rsid w:val="00F83FD5"/>
    <w:rsid w:val="00F84DB1"/>
    <w:rsid w:val="00F87F5E"/>
    <w:rsid w:val="00FA011F"/>
    <w:rsid w:val="00FD1CA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5526B-568A-42A0-9D88-3833CA8D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F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7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2022-08-04T02:57:00Z</cp:lastPrinted>
  <dcterms:created xsi:type="dcterms:W3CDTF">2021-05-31T02:25:00Z</dcterms:created>
  <dcterms:modified xsi:type="dcterms:W3CDTF">2022-08-05T03:20:00Z</dcterms:modified>
</cp:coreProperties>
</file>