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18EE4228" w:rsidR="00CB66D6" w:rsidRPr="00975993" w:rsidRDefault="005C1AA7" w:rsidP="00D6390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FD7967">
        <w:rPr>
          <w:rFonts w:ascii="微軟正黑體" w:eastAsia="微軟正黑體" w:hAnsi="微軟正黑體" w:hint="eastAsia"/>
          <w:b/>
          <w:sz w:val="36"/>
          <w:szCs w:val="36"/>
        </w:rPr>
        <w:t>月國內基金表現優於國外</w:t>
      </w:r>
    </w:p>
    <w:p w14:paraId="27B16D77" w14:textId="738DA854" w:rsidR="00D6390F" w:rsidRDefault="00D6390F" w:rsidP="00D6390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50D98">
        <w:rPr>
          <w:rFonts w:ascii="微軟正黑體" w:eastAsia="微軟正黑體" w:hAnsi="微軟正黑體" w:hint="eastAsia"/>
          <w:b/>
          <w:sz w:val="32"/>
          <w:szCs w:val="32"/>
        </w:rPr>
        <w:t xml:space="preserve">  邱顯比</w:t>
      </w:r>
      <w:r w:rsidR="00F50D98" w:rsidRPr="00F50D98">
        <w:rPr>
          <w:rFonts w:ascii="微軟正黑體" w:eastAsia="微軟正黑體" w:hAnsi="微軟正黑體" w:hint="eastAsia"/>
          <w:b/>
          <w:sz w:val="32"/>
          <w:szCs w:val="32"/>
        </w:rPr>
        <w:t xml:space="preserve">　李存修</w:t>
      </w:r>
    </w:p>
    <w:p w14:paraId="1C7F83BF" w14:textId="60B23D7F" w:rsidR="00FE1173" w:rsidRPr="00975993" w:rsidRDefault="00FE1173" w:rsidP="00C71C9A">
      <w:pPr>
        <w:rPr>
          <w:rFonts w:ascii="微軟正黑體" w:eastAsia="微軟正黑體" w:hAnsi="微軟正黑體"/>
          <w:b/>
          <w:sz w:val="20"/>
          <w:szCs w:val="20"/>
        </w:rPr>
      </w:pPr>
    </w:p>
    <w:p w14:paraId="3DF1EABD" w14:textId="0E20567D" w:rsidR="005C1AA7" w:rsidRDefault="00D93EF1" w:rsidP="005C1AA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今年以來主導金融市場的還是利率風險</w:t>
      </w:r>
      <w:r w:rsidR="005C1AA7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1月美國聯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會放緩升息腳步只升息1碼，市場預期升息已近尾聲，債券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利率回跌，美國10年期公債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利率由年初3.79%回落到1月底的3.52%，利率風險舒緩導致1月份債市股市齊揚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2月市場氣氛又由樂觀轉為疑慮，通膨率雖然持續降低，但離聯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會目標還很遠，就業市場仍然緊俏，多位聯準會官員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又放鷹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派言論，歐洲央行亦是鷹派立場，美國10年期公債殖利率2月上升40個基本點到3.92%，債市自然應聲下跌，股市除了利率因素外，還有庫存去化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經濟衰退擔憂等影響，全球股市普遍下跌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美國道瓊工業指數下跌4.19%，標準普爾500指數下跌2.61%，NASDAQ指數下跌1.11%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新興市場受到美元轉強，資金流出的影響，MSCI新興市場指數大跌6.48%，MSCI世界指數下跌2.83%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但整體而言，2月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股債回檔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幅度小於1月的上升幅度，所以從年初至2月底，大部分的股市債市仍維持正報酬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自年初以來美國標準普爾500指數上漲3.4%，N</w:t>
      </w:r>
      <w:r>
        <w:rPr>
          <w:rFonts w:ascii="微軟正黑體" w:eastAsia="微軟正黑體" w:hAnsi="微軟正黑體"/>
          <w:sz w:val="28"/>
          <w:szCs w:val="28"/>
        </w:rPr>
        <w:t>ASDAQ</w:t>
      </w:r>
      <w:r>
        <w:rPr>
          <w:rFonts w:ascii="微軟正黑體" w:eastAsia="微軟正黑體" w:hAnsi="微軟正黑體" w:hint="eastAsia"/>
          <w:sz w:val="28"/>
          <w:szCs w:val="28"/>
        </w:rPr>
        <w:t>指數更大漲9.45%，MSCI歐洲指數大漲10.89%，MSCI世界指數上漲4.16%，中國上海綜合指數上漲6.16%，深圳成指上漲6.97%，日本東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証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指數上漲5.37%，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只有MSCI新興市場指數較為遜色，只小漲0.92%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A8D3F66" w14:textId="59BAE85A" w:rsidR="00331AA2" w:rsidRDefault="006324B9" w:rsidP="00331AA2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台股2月並未隨著主要股市下跌，加權股價報酬指數小漲1.56%，OTC報酬指數大漲5.</w:t>
      </w:r>
      <w:r w:rsidR="00307C9D">
        <w:rPr>
          <w:rFonts w:ascii="微軟正黑體" w:eastAsia="微軟正黑體" w:hAnsi="微軟正黑體" w:hint="eastAsia"/>
          <w:sz w:val="28"/>
          <w:szCs w:val="28"/>
        </w:rPr>
        <w:t>70</w:t>
      </w:r>
      <w:r>
        <w:rPr>
          <w:rFonts w:ascii="微軟正黑體" w:eastAsia="微軟正黑體" w:hAnsi="微軟正黑體" w:hint="eastAsia"/>
          <w:sz w:val="28"/>
          <w:szCs w:val="28"/>
        </w:rPr>
        <w:t>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從年初到2月底加權股價報酬指數上漲9.66%，電子報酬指數上漲12.27%，OTC報酬指數上漲14.3%，台股表現相當亮眼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227檔台股基金2月平均報酬率4.76%，超過大盤3.</w:t>
      </w:r>
      <w:r w:rsidR="00307C9D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%，其中206檔打敗大盤（比例90.75%），正報酬219檔（比例96.48%）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特別的是，171檔主動型基金全數打敗大盤，這應該是新紀錄，或許和２月中公布波克夏去年第四季大賣台積電引發台積電股價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下挫有一些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關係，因為基金持有台積電占投資組合比重一般是低於指數比重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從年初到2月底台股基金平均報酬率12.17%，其中171檔打敗大盤，221檔正報酬，只有4檔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反向型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為負報酬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各子類表現依序為中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概股型</w:t>
      </w:r>
      <w:proofErr w:type="gramEnd"/>
      <w:r w:rsidR="00331AA2">
        <w:rPr>
          <w:rFonts w:ascii="微軟正黑體" w:eastAsia="微軟正黑體" w:hAnsi="微軟正黑體" w:hint="eastAsia"/>
          <w:sz w:val="28"/>
          <w:szCs w:val="28"/>
        </w:rPr>
        <w:t>（14.21</w:t>
      </w:r>
      <w:r w:rsidR="00331AA2">
        <w:rPr>
          <w:rFonts w:ascii="微軟正黑體" w:eastAsia="微軟正黑體" w:hAnsi="微軟正黑體"/>
          <w:sz w:val="28"/>
          <w:szCs w:val="28"/>
        </w:rPr>
        <w:t>%</w:t>
      </w:r>
      <w:r w:rsidR="00331AA2">
        <w:rPr>
          <w:rFonts w:ascii="微軟正黑體" w:eastAsia="微軟正黑體" w:hAnsi="微軟正黑體" w:hint="eastAsia"/>
          <w:sz w:val="28"/>
          <w:szCs w:val="28"/>
        </w:rPr>
        <w:t>）</w:t>
      </w:r>
      <w:r w:rsidR="00331AA2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31AA2">
        <w:rPr>
          <w:rFonts w:ascii="微軟正黑體" w:eastAsia="微軟正黑體" w:hAnsi="微軟正黑體" w:hint="eastAsia"/>
          <w:sz w:val="28"/>
          <w:szCs w:val="28"/>
        </w:rPr>
        <w:t>科技類（13.99</w:t>
      </w:r>
      <w:r w:rsidR="00331AA2">
        <w:rPr>
          <w:rFonts w:ascii="微軟正黑體" w:eastAsia="微軟正黑體" w:hAnsi="微軟正黑體"/>
          <w:sz w:val="28"/>
          <w:szCs w:val="28"/>
        </w:rPr>
        <w:t>%</w:t>
      </w:r>
      <w:r w:rsidR="00331AA2">
        <w:rPr>
          <w:rFonts w:ascii="微軟正黑體" w:eastAsia="微軟正黑體" w:hAnsi="微軟正黑體" w:hint="eastAsia"/>
          <w:sz w:val="28"/>
          <w:szCs w:val="28"/>
        </w:rPr>
        <w:t>）</w:t>
      </w:r>
      <w:r w:rsidR="00331AA2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31AA2">
        <w:rPr>
          <w:rFonts w:ascii="微軟正黑體" w:eastAsia="微軟正黑體" w:hAnsi="微軟正黑體" w:hint="eastAsia"/>
          <w:sz w:val="28"/>
          <w:szCs w:val="28"/>
        </w:rPr>
        <w:t>上櫃股票型（13.42</w:t>
      </w:r>
      <w:r w:rsidR="00331AA2">
        <w:rPr>
          <w:rFonts w:ascii="微軟正黑體" w:eastAsia="微軟正黑體" w:hAnsi="微軟正黑體"/>
          <w:sz w:val="28"/>
          <w:szCs w:val="28"/>
        </w:rPr>
        <w:t>%</w:t>
      </w:r>
      <w:r w:rsidR="00331AA2">
        <w:rPr>
          <w:rFonts w:ascii="微軟正黑體" w:eastAsia="微軟正黑體" w:hAnsi="微軟正黑體" w:hint="eastAsia"/>
          <w:sz w:val="28"/>
          <w:szCs w:val="28"/>
        </w:rPr>
        <w:t>）</w:t>
      </w:r>
      <w:r w:rsidR="00331AA2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31AA2">
        <w:rPr>
          <w:rFonts w:ascii="微軟正黑體" w:eastAsia="微軟正黑體" w:hAnsi="微軟正黑體" w:hint="eastAsia"/>
          <w:sz w:val="28"/>
          <w:szCs w:val="28"/>
        </w:rPr>
        <w:t>中小型（12.92</w:t>
      </w:r>
      <w:r w:rsidR="00331AA2">
        <w:rPr>
          <w:rFonts w:ascii="微軟正黑體" w:eastAsia="微軟正黑體" w:hAnsi="微軟正黑體"/>
          <w:sz w:val="28"/>
          <w:szCs w:val="28"/>
        </w:rPr>
        <w:t>%</w:t>
      </w:r>
      <w:r w:rsidR="00331AA2">
        <w:rPr>
          <w:rFonts w:ascii="微軟正黑體" w:eastAsia="微軟正黑體" w:hAnsi="微軟正黑體" w:hint="eastAsia"/>
          <w:sz w:val="28"/>
          <w:szCs w:val="28"/>
        </w:rPr>
        <w:t>）</w:t>
      </w:r>
      <w:r w:rsidR="00331AA2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31AA2">
        <w:rPr>
          <w:rFonts w:ascii="微軟正黑體" w:eastAsia="微軟正黑體" w:hAnsi="微軟正黑體" w:hint="eastAsia"/>
          <w:sz w:val="28"/>
          <w:szCs w:val="28"/>
        </w:rPr>
        <w:t>一般股票型（12.46</w:t>
      </w:r>
      <w:r w:rsidR="00331AA2">
        <w:rPr>
          <w:rFonts w:ascii="微軟正黑體" w:eastAsia="微軟正黑體" w:hAnsi="微軟正黑體"/>
          <w:sz w:val="28"/>
          <w:szCs w:val="28"/>
        </w:rPr>
        <w:t>%</w:t>
      </w:r>
      <w:r w:rsidR="00331AA2">
        <w:rPr>
          <w:rFonts w:ascii="微軟正黑體" w:eastAsia="微軟正黑體" w:hAnsi="微軟正黑體" w:hint="eastAsia"/>
          <w:sz w:val="28"/>
          <w:szCs w:val="28"/>
        </w:rPr>
        <w:t>）</w:t>
      </w:r>
      <w:r w:rsidR="00331AA2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31AA2">
        <w:rPr>
          <w:rFonts w:ascii="微軟正黑體" w:eastAsia="微軟正黑體" w:hAnsi="微軟正黑體" w:hint="eastAsia"/>
          <w:sz w:val="28"/>
          <w:szCs w:val="28"/>
        </w:rPr>
        <w:t>一般型E</w:t>
      </w:r>
      <w:r w:rsidR="00331AA2">
        <w:rPr>
          <w:rFonts w:ascii="微軟正黑體" w:eastAsia="微軟正黑體" w:hAnsi="微軟正黑體"/>
          <w:sz w:val="28"/>
          <w:szCs w:val="28"/>
        </w:rPr>
        <w:t>TF</w:t>
      </w:r>
      <w:r w:rsidR="00331AA2">
        <w:rPr>
          <w:rFonts w:ascii="微軟正黑體" w:eastAsia="微軟正黑體" w:hAnsi="微軟正黑體" w:hint="eastAsia"/>
          <w:sz w:val="28"/>
          <w:szCs w:val="28"/>
        </w:rPr>
        <w:t>（1</w:t>
      </w:r>
      <w:r w:rsidR="00331AA2">
        <w:rPr>
          <w:rFonts w:ascii="微軟正黑體" w:eastAsia="微軟正黑體" w:hAnsi="微軟正黑體"/>
          <w:sz w:val="28"/>
          <w:szCs w:val="28"/>
        </w:rPr>
        <w:t>1.15%</w:t>
      </w:r>
      <w:r w:rsidR="00331AA2">
        <w:rPr>
          <w:rFonts w:ascii="微軟正黑體" w:eastAsia="微軟正黑體" w:hAnsi="微軟正黑體" w:hint="eastAsia"/>
          <w:sz w:val="28"/>
          <w:szCs w:val="28"/>
        </w:rPr>
        <w:t>）</w:t>
      </w:r>
      <w:r w:rsidR="00331AA2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331AA2">
        <w:rPr>
          <w:rFonts w:ascii="微軟正黑體" w:eastAsia="微軟正黑體" w:hAnsi="微軟正黑體" w:hint="eastAsia"/>
          <w:sz w:val="28"/>
          <w:szCs w:val="28"/>
        </w:rPr>
        <w:t>價值型（9.67</w:t>
      </w:r>
      <w:r w:rsidR="00331AA2">
        <w:rPr>
          <w:rFonts w:ascii="微軟正黑體" w:eastAsia="微軟正黑體" w:hAnsi="微軟正黑體"/>
          <w:sz w:val="28"/>
          <w:szCs w:val="28"/>
        </w:rPr>
        <w:t>%</w:t>
      </w:r>
      <w:r w:rsidR="00331AA2">
        <w:rPr>
          <w:rFonts w:ascii="微軟正黑體" w:eastAsia="微軟正黑體" w:hAnsi="微軟正黑體" w:hint="eastAsia"/>
          <w:sz w:val="28"/>
          <w:szCs w:val="28"/>
        </w:rPr>
        <w:t>）</w:t>
      </w:r>
      <w:r w:rsidR="00331AA2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D3234A4" w14:textId="7D54B497" w:rsidR="00A53BF3" w:rsidRDefault="00A53BF3" w:rsidP="000334A8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773檔跨國投資股票型基金2月平均報酬率-2.71%，損失較大的子類有大</w:t>
      </w:r>
      <w:r w:rsidR="004F0B1F">
        <w:rPr>
          <w:rFonts w:ascii="微軟正黑體" w:eastAsia="微軟正黑體" w:hAnsi="微軟正黑體" w:hint="eastAsia"/>
          <w:sz w:val="28"/>
          <w:szCs w:val="28"/>
        </w:rPr>
        <w:t>中</w:t>
      </w:r>
      <w:r>
        <w:rPr>
          <w:rFonts w:ascii="微軟正黑體" w:eastAsia="微軟正黑體" w:hAnsi="微軟正黑體" w:hint="eastAsia"/>
          <w:sz w:val="28"/>
          <w:szCs w:val="28"/>
        </w:rPr>
        <w:t>華區（全部幣別-</w:t>
      </w:r>
      <w:r>
        <w:rPr>
          <w:rFonts w:ascii="微軟正黑體" w:eastAsia="微軟正黑體" w:hAnsi="微軟正黑體"/>
          <w:sz w:val="28"/>
          <w:szCs w:val="28"/>
        </w:rPr>
        <w:t>4.76</w:t>
      </w:r>
      <w:r>
        <w:rPr>
          <w:rFonts w:ascii="微軟正黑體" w:eastAsia="微軟正黑體" w:hAnsi="微軟正黑體" w:hint="eastAsia"/>
          <w:sz w:val="28"/>
          <w:szCs w:val="28"/>
        </w:rPr>
        <w:t>%，台幣-</w:t>
      </w:r>
      <w:r>
        <w:rPr>
          <w:rFonts w:ascii="微軟正黑體" w:eastAsia="微軟正黑體" w:hAnsi="微軟正黑體"/>
          <w:sz w:val="28"/>
          <w:szCs w:val="28"/>
        </w:rPr>
        <w:t>5.00</w:t>
      </w:r>
      <w:r>
        <w:rPr>
          <w:rFonts w:ascii="微軟正黑體" w:eastAsia="微軟正黑體" w:hAnsi="微軟正黑體" w:hint="eastAsia"/>
          <w:sz w:val="28"/>
          <w:szCs w:val="28"/>
        </w:rPr>
        <w:t>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新興市場（全部幣別-4.05%，台幣-4.08%）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日本（-3.82%）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中國大陸A股（全部幣別-3.54%，台幣-3.77%）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其他單一市場（全部幣別-3.53%，台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幣-4.12%）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從年初到2月底跨國股票型基金</w:t>
      </w:r>
      <w:r w:rsidR="008477C3">
        <w:rPr>
          <w:rFonts w:ascii="微軟正黑體" w:eastAsia="微軟正黑體" w:hAnsi="微軟正黑體" w:hint="eastAsia"/>
          <w:sz w:val="28"/>
          <w:szCs w:val="28"/>
        </w:rPr>
        <w:t>平均報酬率2.78%，略低於M</w:t>
      </w:r>
      <w:r w:rsidR="008477C3">
        <w:rPr>
          <w:rFonts w:ascii="微軟正黑體" w:eastAsia="微軟正黑體" w:hAnsi="微軟正黑體"/>
          <w:sz w:val="28"/>
          <w:szCs w:val="28"/>
        </w:rPr>
        <w:t>SCI</w:t>
      </w:r>
      <w:r w:rsidR="008477C3">
        <w:rPr>
          <w:rFonts w:ascii="微軟正黑體" w:eastAsia="微軟正黑體" w:hAnsi="微軟正黑體" w:hint="eastAsia"/>
          <w:sz w:val="28"/>
          <w:szCs w:val="28"/>
        </w:rPr>
        <w:t>世界指數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8477C3">
        <w:rPr>
          <w:rFonts w:ascii="微軟正黑體" w:eastAsia="微軟正黑體" w:hAnsi="微軟正黑體" w:hint="eastAsia"/>
          <w:sz w:val="28"/>
          <w:szCs w:val="28"/>
        </w:rPr>
        <w:t>表現較佳的子類有特別股型（全部幣別6.11%，台幣5.55%）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8477C3">
        <w:rPr>
          <w:rFonts w:ascii="微軟正黑體" w:eastAsia="微軟正黑體" w:hAnsi="微軟正黑體" w:hint="eastAsia"/>
          <w:sz w:val="28"/>
          <w:szCs w:val="28"/>
        </w:rPr>
        <w:t>美國（5.97%）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8477C3">
        <w:rPr>
          <w:rFonts w:ascii="微軟正黑體" w:eastAsia="微軟正黑體" w:hAnsi="微軟正黑體" w:hint="eastAsia"/>
          <w:sz w:val="28"/>
          <w:szCs w:val="28"/>
        </w:rPr>
        <w:t>歐洲（5.13%）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8477C3">
        <w:rPr>
          <w:rFonts w:ascii="微軟正黑體" w:eastAsia="微軟正黑體" w:hAnsi="微軟正黑體" w:hint="eastAsia"/>
          <w:sz w:val="28"/>
          <w:szCs w:val="28"/>
        </w:rPr>
        <w:t>產業類E</w:t>
      </w:r>
      <w:r w:rsidR="008477C3">
        <w:rPr>
          <w:rFonts w:ascii="微軟正黑體" w:eastAsia="微軟正黑體" w:hAnsi="微軟正黑體"/>
          <w:sz w:val="28"/>
          <w:szCs w:val="28"/>
        </w:rPr>
        <w:t>TF</w:t>
      </w:r>
      <w:r w:rsidR="008477C3">
        <w:rPr>
          <w:rFonts w:ascii="微軟正黑體" w:eastAsia="微軟正黑體" w:hAnsi="微軟正黑體" w:hint="eastAsia"/>
          <w:sz w:val="28"/>
          <w:szCs w:val="28"/>
        </w:rPr>
        <w:t>（8</w:t>
      </w:r>
      <w:r w:rsidR="008477C3">
        <w:rPr>
          <w:rFonts w:ascii="微軟正黑體" w:eastAsia="微軟正黑體" w:hAnsi="微軟正黑體"/>
          <w:sz w:val="28"/>
          <w:szCs w:val="28"/>
        </w:rPr>
        <w:t>.89</w:t>
      </w:r>
      <w:r w:rsidR="008477C3">
        <w:rPr>
          <w:rFonts w:ascii="微軟正黑體" w:eastAsia="微軟正黑體" w:hAnsi="微軟正黑體" w:hint="eastAsia"/>
          <w:sz w:val="28"/>
          <w:szCs w:val="28"/>
        </w:rPr>
        <w:t>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8477C3">
        <w:rPr>
          <w:rFonts w:ascii="微軟正黑體" w:eastAsia="微軟正黑體" w:hAnsi="微軟正黑體" w:hint="eastAsia"/>
          <w:sz w:val="28"/>
          <w:szCs w:val="28"/>
        </w:rPr>
        <w:t>一般型E</w:t>
      </w:r>
      <w:r w:rsidR="008477C3">
        <w:rPr>
          <w:rFonts w:ascii="微軟正黑體" w:eastAsia="微軟正黑體" w:hAnsi="微軟正黑體"/>
          <w:sz w:val="28"/>
          <w:szCs w:val="28"/>
        </w:rPr>
        <w:t>TF</w:t>
      </w:r>
      <w:r w:rsidR="008477C3">
        <w:rPr>
          <w:rFonts w:ascii="微軟正黑體" w:eastAsia="微軟正黑體" w:hAnsi="微軟正黑體" w:hint="eastAsia"/>
          <w:sz w:val="28"/>
          <w:szCs w:val="28"/>
        </w:rPr>
        <w:t>（4</w:t>
      </w:r>
      <w:r w:rsidR="008477C3">
        <w:rPr>
          <w:rFonts w:ascii="微軟正黑體" w:eastAsia="微軟正黑體" w:hAnsi="微軟正黑體"/>
          <w:sz w:val="28"/>
          <w:szCs w:val="28"/>
        </w:rPr>
        <w:t>.87</w:t>
      </w:r>
      <w:r w:rsidR="008477C3">
        <w:rPr>
          <w:rFonts w:ascii="微軟正黑體" w:eastAsia="微軟正黑體" w:hAnsi="微軟正黑體" w:hint="eastAsia"/>
          <w:sz w:val="28"/>
          <w:szCs w:val="28"/>
        </w:rPr>
        <w:t>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8477C3">
        <w:rPr>
          <w:rFonts w:ascii="微軟正黑體" w:eastAsia="微軟正黑體" w:hAnsi="微軟正黑體" w:hint="eastAsia"/>
          <w:sz w:val="28"/>
          <w:szCs w:val="28"/>
        </w:rPr>
        <w:t>日本一般型E</w:t>
      </w:r>
      <w:r w:rsidR="008477C3">
        <w:rPr>
          <w:rFonts w:ascii="微軟正黑體" w:eastAsia="微軟正黑體" w:hAnsi="微軟正黑體"/>
          <w:sz w:val="28"/>
          <w:szCs w:val="28"/>
        </w:rPr>
        <w:t>TF</w:t>
      </w:r>
      <w:r w:rsidR="008477C3">
        <w:rPr>
          <w:rFonts w:ascii="微軟正黑體" w:eastAsia="微軟正黑體" w:hAnsi="微軟正黑體" w:hint="eastAsia"/>
          <w:sz w:val="28"/>
          <w:szCs w:val="28"/>
        </w:rPr>
        <w:t>（4</w:t>
      </w:r>
      <w:r w:rsidR="008477C3">
        <w:rPr>
          <w:rFonts w:ascii="微軟正黑體" w:eastAsia="微軟正黑體" w:hAnsi="微軟正黑體"/>
          <w:sz w:val="28"/>
          <w:szCs w:val="28"/>
        </w:rPr>
        <w:t>.98</w:t>
      </w:r>
      <w:r w:rsidR="008477C3">
        <w:rPr>
          <w:rFonts w:ascii="微軟正黑體" w:eastAsia="微軟正黑體" w:hAnsi="微軟正黑體" w:hint="eastAsia"/>
          <w:sz w:val="28"/>
          <w:szCs w:val="28"/>
        </w:rPr>
        <w:t>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8477C3">
        <w:rPr>
          <w:rFonts w:ascii="微軟正黑體" w:eastAsia="微軟正黑體" w:hAnsi="微軟正黑體" w:hint="eastAsia"/>
          <w:sz w:val="28"/>
          <w:szCs w:val="28"/>
        </w:rPr>
        <w:t>美國指數型（非E</w:t>
      </w:r>
      <w:r w:rsidR="008477C3">
        <w:rPr>
          <w:rFonts w:ascii="微軟正黑體" w:eastAsia="微軟正黑體" w:hAnsi="微軟正黑體"/>
          <w:sz w:val="28"/>
          <w:szCs w:val="28"/>
        </w:rPr>
        <w:t>TF</w:t>
      </w:r>
      <w:r w:rsidR="008477C3">
        <w:rPr>
          <w:rFonts w:ascii="微軟正黑體" w:eastAsia="微軟正黑體" w:hAnsi="微軟正黑體" w:hint="eastAsia"/>
          <w:sz w:val="28"/>
          <w:szCs w:val="28"/>
        </w:rPr>
        <w:t>，4</w:t>
      </w:r>
      <w:r w:rsidR="008477C3">
        <w:rPr>
          <w:rFonts w:ascii="微軟正黑體" w:eastAsia="微軟正黑體" w:hAnsi="微軟正黑體"/>
          <w:sz w:val="28"/>
          <w:szCs w:val="28"/>
        </w:rPr>
        <w:t>.73</w:t>
      </w:r>
      <w:r w:rsidR="008477C3">
        <w:rPr>
          <w:rFonts w:ascii="微軟正黑體" w:eastAsia="微軟正黑體" w:hAnsi="微軟正黑體" w:hint="eastAsia"/>
          <w:sz w:val="28"/>
          <w:szCs w:val="28"/>
        </w:rPr>
        <w:t>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8477C3">
        <w:rPr>
          <w:rFonts w:ascii="微軟正黑體" w:eastAsia="微軟正黑體" w:hAnsi="微軟正黑體" w:hint="eastAsia"/>
          <w:sz w:val="28"/>
          <w:szCs w:val="28"/>
        </w:rPr>
        <w:t>值得一提的是，產業</w:t>
      </w:r>
      <w:r w:rsidR="00A1589E">
        <w:rPr>
          <w:rFonts w:ascii="微軟正黑體" w:eastAsia="微軟正黑體" w:hAnsi="微軟正黑體" w:hint="eastAsia"/>
          <w:sz w:val="28"/>
          <w:szCs w:val="28"/>
        </w:rPr>
        <w:t>類</w:t>
      </w:r>
      <w:bookmarkStart w:id="0" w:name="_GoBack"/>
      <w:bookmarkEnd w:id="0"/>
      <w:r w:rsidR="008477C3">
        <w:rPr>
          <w:rFonts w:ascii="微軟正黑體" w:eastAsia="微軟正黑體" w:hAnsi="微軟正黑體" w:hint="eastAsia"/>
          <w:sz w:val="28"/>
          <w:szCs w:val="28"/>
        </w:rPr>
        <w:t>E</w:t>
      </w:r>
      <w:r w:rsidR="008477C3">
        <w:rPr>
          <w:rFonts w:ascii="微軟正黑體" w:eastAsia="微軟正黑體" w:hAnsi="微軟正黑體"/>
          <w:sz w:val="28"/>
          <w:szCs w:val="28"/>
        </w:rPr>
        <w:t>TF</w:t>
      </w:r>
      <w:r w:rsidR="008477C3">
        <w:rPr>
          <w:rFonts w:ascii="微軟正黑體" w:eastAsia="微軟正黑體" w:hAnsi="微軟正黑體" w:hint="eastAsia"/>
          <w:sz w:val="28"/>
          <w:szCs w:val="28"/>
        </w:rPr>
        <w:t>前三名：富邦未來車E</w:t>
      </w:r>
      <w:r w:rsidR="008477C3">
        <w:rPr>
          <w:rFonts w:ascii="微軟正黑體" w:eastAsia="微軟正黑體" w:hAnsi="微軟正黑體"/>
          <w:sz w:val="28"/>
          <w:szCs w:val="28"/>
        </w:rPr>
        <w:t>TF</w:t>
      </w:r>
      <w:r w:rsidR="008477C3">
        <w:rPr>
          <w:rFonts w:ascii="微軟正黑體" w:eastAsia="微軟正黑體" w:hAnsi="微軟正黑體" w:hint="eastAsia"/>
          <w:sz w:val="28"/>
          <w:szCs w:val="28"/>
        </w:rPr>
        <w:t>（2</w:t>
      </w:r>
      <w:r w:rsidR="008477C3">
        <w:rPr>
          <w:rFonts w:ascii="微軟正黑體" w:eastAsia="微軟正黑體" w:hAnsi="微軟正黑體"/>
          <w:sz w:val="28"/>
          <w:szCs w:val="28"/>
        </w:rPr>
        <w:t>5.44</w:t>
      </w:r>
      <w:r w:rsidR="008477C3">
        <w:rPr>
          <w:rFonts w:ascii="微軟正黑體" w:eastAsia="微軟正黑體" w:hAnsi="微軟正黑體" w:hint="eastAsia"/>
          <w:sz w:val="28"/>
          <w:szCs w:val="28"/>
        </w:rPr>
        <w:t>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8477C3">
        <w:rPr>
          <w:rFonts w:ascii="微軟正黑體" w:eastAsia="微軟正黑體" w:hAnsi="微軟正黑體" w:hint="eastAsia"/>
          <w:sz w:val="28"/>
          <w:szCs w:val="28"/>
        </w:rPr>
        <w:t>國泰全球智能電動車ETF</w:t>
      </w:r>
      <w:r w:rsidR="009E56E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477C3">
        <w:rPr>
          <w:rFonts w:ascii="微軟正黑體" w:eastAsia="微軟正黑體" w:hAnsi="微軟正黑體" w:hint="eastAsia"/>
          <w:sz w:val="28"/>
          <w:szCs w:val="28"/>
        </w:rPr>
        <w:t>（2</w:t>
      </w:r>
      <w:r w:rsidR="008477C3">
        <w:rPr>
          <w:rFonts w:ascii="微軟正黑體" w:eastAsia="微軟正黑體" w:hAnsi="微軟正黑體"/>
          <w:sz w:val="28"/>
          <w:szCs w:val="28"/>
        </w:rPr>
        <w:t>3.16</w:t>
      </w:r>
      <w:r w:rsidR="008477C3">
        <w:rPr>
          <w:rFonts w:ascii="微軟正黑體" w:eastAsia="微軟正黑體" w:hAnsi="微軟正黑體" w:hint="eastAsia"/>
          <w:sz w:val="28"/>
          <w:szCs w:val="28"/>
        </w:rPr>
        <w:t>%）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8477C3">
        <w:rPr>
          <w:rFonts w:ascii="微軟正黑體" w:eastAsia="微軟正黑體" w:hAnsi="微軟正黑體" w:hint="eastAsia"/>
          <w:sz w:val="28"/>
          <w:szCs w:val="28"/>
        </w:rPr>
        <w:t>統一N</w:t>
      </w:r>
      <w:r w:rsidR="008477C3">
        <w:rPr>
          <w:rFonts w:ascii="微軟正黑體" w:eastAsia="微軟正黑體" w:hAnsi="微軟正黑體"/>
          <w:sz w:val="28"/>
          <w:szCs w:val="28"/>
        </w:rPr>
        <w:t>YSE FANG+ ETF</w:t>
      </w:r>
      <w:r w:rsidR="008477C3">
        <w:rPr>
          <w:rFonts w:ascii="微軟正黑體" w:eastAsia="微軟正黑體" w:hAnsi="微軟正黑體" w:hint="eastAsia"/>
          <w:sz w:val="28"/>
          <w:szCs w:val="28"/>
        </w:rPr>
        <w:t>（2</w:t>
      </w:r>
      <w:r w:rsidR="008477C3">
        <w:rPr>
          <w:rFonts w:ascii="微軟正黑體" w:eastAsia="微軟正黑體" w:hAnsi="微軟正黑體"/>
          <w:sz w:val="28"/>
          <w:szCs w:val="28"/>
        </w:rPr>
        <w:t>0.20</w:t>
      </w:r>
      <w:r w:rsidR="008477C3">
        <w:rPr>
          <w:rFonts w:ascii="微軟正黑體" w:eastAsia="微軟正黑體" w:hAnsi="微軟正黑體" w:hint="eastAsia"/>
          <w:sz w:val="28"/>
          <w:szCs w:val="28"/>
        </w:rPr>
        <w:t>%）報酬率皆超過20%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DE8B1F2" w14:textId="7C77C96C" w:rsidR="004B1341" w:rsidRDefault="009E56E7" w:rsidP="00B372E4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受到利率反彈影響，2月各主要債券基金子類多為1%至3%的損失，例如全球投資等級債（全部幣別-1.72%，台幣-1.24%）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美國投資等級債</w:t>
      </w:r>
      <w:r>
        <w:rPr>
          <w:rFonts w:ascii="微軟正黑體" w:eastAsia="微軟正黑體" w:hAnsi="微軟正黑體" w:hint="eastAsia"/>
          <w:sz w:val="28"/>
          <w:szCs w:val="28"/>
        </w:rPr>
        <w:t>（</w:t>
      </w:r>
      <w:r w:rsidR="00B372E4">
        <w:rPr>
          <w:rFonts w:ascii="微軟正黑體" w:eastAsia="微軟正黑體" w:hAnsi="微軟正黑體" w:hint="eastAsia"/>
          <w:sz w:val="28"/>
          <w:szCs w:val="28"/>
        </w:rPr>
        <w:t>-2.80</w:t>
      </w:r>
      <w:r>
        <w:rPr>
          <w:rFonts w:ascii="微軟正黑體" w:eastAsia="微軟正黑體" w:hAnsi="微軟正黑體"/>
          <w:sz w:val="28"/>
          <w:szCs w:val="28"/>
        </w:rPr>
        <w:t>%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全球新興市場投資等級債（全部幣別-1.86%，台幣-1.63%）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亞洲新興市場投資等級債（全部幣別-1.37%，台幣</w:t>
      </w:r>
      <w:r w:rsidR="004B1341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B372E4">
        <w:rPr>
          <w:rFonts w:ascii="微軟正黑體" w:eastAsia="微軟正黑體" w:hAnsi="微軟正黑體" w:hint="eastAsia"/>
          <w:sz w:val="28"/>
          <w:szCs w:val="28"/>
        </w:rPr>
        <w:t>-1.07%）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全球非投資等級債（全部幣別-1.42%，台幣-1.08%）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新興市場非投資等級債（全部幣別-1.87%，台幣-1.78%）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一般型債券E</w:t>
      </w:r>
      <w:r w:rsidR="00B372E4">
        <w:rPr>
          <w:rFonts w:ascii="微軟正黑體" w:eastAsia="微軟正黑體" w:hAnsi="微軟正黑體"/>
          <w:sz w:val="28"/>
          <w:szCs w:val="28"/>
        </w:rPr>
        <w:t>TF</w:t>
      </w:r>
      <w:r w:rsidR="00B372E4">
        <w:rPr>
          <w:rFonts w:ascii="微軟正黑體" w:eastAsia="微軟正黑體" w:hAnsi="微軟正黑體" w:hint="eastAsia"/>
          <w:sz w:val="28"/>
          <w:szCs w:val="28"/>
        </w:rPr>
        <w:t>（-</w:t>
      </w:r>
      <w:r w:rsidR="00B372E4">
        <w:rPr>
          <w:rFonts w:ascii="微軟正黑體" w:eastAsia="微軟正黑體" w:hAnsi="微軟正黑體"/>
          <w:sz w:val="28"/>
          <w:szCs w:val="28"/>
        </w:rPr>
        <w:t>2.71%</w:t>
      </w:r>
      <w:r w:rsidR="00B372E4">
        <w:rPr>
          <w:rFonts w:ascii="微軟正黑體" w:eastAsia="微軟正黑體" w:hAnsi="微軟正黑體" w:hint="eastAsia"/>
          <w:sz w:val="28"/>
          <w:szCs w:val="28"/>
        </w:rPr>
        <w:t>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B372E4">
        <w:rPr>
          <w:rFonts w:ascii="微軟正黑體" w:eastAsia="微軟正黑體" w:hAnsi="微軟正黑體" w:hint="eastAsia"/>
          <w:sz w:val="28"/>
          <w:szCs w:val="28"/>
        </w:rPr>
        <w:t>從年初到2月底，因為有1月份的正報酬，兩個月的報酬率多在正負1%之內，例如全球投資等級債（全部幣別0.76%，台幣0.26%）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美國投資等級債（-0.63%）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全球新興市場投資等級債（全部幣別0.10%，台幣-0.52%）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目標到期投資等級債（全部幣別0.77%，台幣0.22%）</w:t>
      </w:r>
      <w:r w:rsidR="00B372E4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372E4">
        <w:rPr>
          <w:rFonts w:ascii="微軟正黑體" w:eastAsia="微軟正黑體" w:hAnsi="微軟正黑體" w:hint="eastAsia"/>
          <w:sz w:val="28"/>
          <w:szCs w:val="28"/>
        </w:rPr>
        <w:t>全球非投資等級債</w:t>
      </w:r>
      <w:r w:rsidR="004B1341">
        <w:rPr>
          <w:rFonts w:ascii="微軟正黑體" w:eastAsia="微軟正黑體" w:hAnsi="微軟正黑體" w:hint="eastAsia"/>
          <w:sz w:val="28"/>
          <w:szCs w:val="28"/>
        </w:rPr>
        <w:t>（全部幣別1.26%，台幣0.82%）</w:t>
      </w:r>
      <w:r w:rsidR="004B1341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4B1341">
        <w:rPr>
          <w:rFonts w:ascii="微軟正黑體" w:eastAsia="微軟正黑體" w:hAnsi="微軟正黑體" w:hint="eastAsia"/>
          <w:sz w:val="28"/>
          <w:szCs w:val="28"/>
        </w:rPr>
        <w:t>一般型債券E</w:t>
      </w:r>
      <w:r w:rsidR="004B1341">
        <w:rPr>
          <w:rFonts w:ascii="微軟正黑體" w:eastAsia="微軟正黑體" w:hAnsi="微軟正黑體"/>
          <w:sz w:val="28"/>
          <w:szCs w:val="28"/>
        </w:rPr>
        <w:t>TF</w:t>
      </w:r>
      <w:r w:rsidR="004B1341">
        <w:rPr>
          <w:rFonts w:ascii="微軟正黑體" w:eastAsia="微軟正黑體" w:hAnsi="微軟正黑體" w:hint="eastAsia"/>
          <w:sz w:val="28"/>
          <w:szCs w:val="28"/>
        </w:rPr>
        <w:t>（0</w:t>
      </w:r>
      <w:r w:rsidR="004B1341">
        <w:rPr>
          <w:rFonts w:ascii="微軟正黑體" w:eastAsia="微軟正黑體" w:hAnsi="微軟正黑體"/>
          <w:sz w:val="28"/>
          <w:szCs w:val="28"/>
        </w:rPr>
        <w:t>.23</w:t>
      </w:r>
      <w:r w:rsidR="004B1341">
        <w:rPr>
          <w:rFonts w:ascii="微軟正黑體" w:eastAsia="微軟正黑體" w:hAnsi="微軟正黑體" w:hint="eastAsia"/>
          <w:sz w:val="28"/>
          <w:szCs w:val="28"/>
        </w:rPr>
        <w:t>%）</w:t>
      </w:r>
      <w:r w:rsidR="004B1341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4B1341">
        <w:rPr>
          <w:rFonts w:ascii="微軟正黑體" w:eastAsia="微軟正黑體" w:hAnsi="微軟正黑體" w:hint="eastAsia"/>
          <w:sz w:val="28"/>
          <w:szCs w:val="28"/>
        </w:rPr>
        <w:t>亞洲非投資等級債（全部幣別</w:t>
      </w:r>
      <w:r w:rsidR="004B1341">
        <w:rPr>
          <w:rFonts w:ascii="微軟正黑體" w:eastAsia="微軟正黑體" w:hAnsi="微軟正黑體" w:hint="eastAsia"/>
          <w:sz w:val="28"/>
          <w:szCs w:val="28"/>
        </w:rPr>
        <w:lastRenderedPageBreak/>
        <w:t>2.9</w:t>
      </w:r>
      <w:r w:rsidR="00BE5F52">
        <w:rPr>
          <w:rFonts w:ascii="微軟正黑體" w:eastAsia="微軟正黑體" w:hAnsi="微軟正黑體" w:hint="eastAsia"/>
          <w:sz w:val="28"/>
          <w:szCs w:val="28"/>
        </w:rPr>
        <w:t>4</w:t>
      </w:r>
      <w:r w:rsidR="004B1341">
        <w:rPr>
          <w:rFonts w:ascii="微軟正黑體" w:eastAsia="微軟正黑體" w:hAnsi="微軟正黑體" w:hint="eastAsia"/>
          <w:sz w:val="28"/>
          <w:szCs w:val="28"/>
        </w:rPr>
        <w:t>%，台幣</w:t>
      </w:r>
      <w:r w:rsidR="00BE5F52">
        <w:rPr>
          <w:rFonts w:ascii="微軟正黑體" w:eastAsia="微軟正黑體" w:hAnsi="微軟正黑體" w:hint="eastAsia"/>
          <w:sz w:val="28"/>
          <w:szCs w:val="28"/>
        </w:rPr>
        <w:t>2</w:t>
      </w:r>
      <w:r w:rsidR="004B1341">
        <w:rPr>
          <w:rFonts w:ascii="微軟正黑體" w:eastAsia="微軟正黑體" w:hAnsi="微軟正黑體" w:hint="eastAsia"/>
          <w:sz w:val="28"/>
          <w:szCs w:val="28"/>
        </w:rPr>
        <w:t>.</w:t>
      </w:r>
      <w:r w:rsidR="00BE5F52">
        <w:rPr>
          <w:rFonts w:ascii="微軟正黑體" w:eastAsia="微軟正黑體" w:hAnsi="微軟正黑體" w:hint="eastAsia"/>
          <w:sz w:val="28"/>
          <w:szCs w:val="28"/>
        </w:rPr>
        <w:t>8</w:t>
      </w:r>
      <w:r w:rsidR="004B1341">
        <w:rPr>
          <w:rFonts w:ascii="微軟正黑體" w:eastAsia="微軟正黑體" w:hAnsi="微軟正黑體" w:hint="eastAsia"/>
          <w:sz w:val="28"/>
          <w:szCs w:val="28"/>
        </w:rPr>
        <w:t>8%）</w:t>
      </w:r>
      <w:r w:rsidR="00BE5F52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BE5F52">
        <w:rPr>
          <w:rFonts w:ascii="微軟正黑體" w:eastAsia="微軟正黑體" w:hAnsi="微軟正黑體" w:hint="eastAsia"/>
          <w:sz w:val="28"/>
          <w:szCs w:val="28"/>
        </w:rPr>
        <w:t>中國大陸</w:t>
      </w:r>
      <w:r w:rsidR="006159B2">
        <w:rPr>
          <w:rFonts w:ascii="微軟正黑體" w:eastAsia="微軟正黑體" w:hAnsi="微軟正黑體" w:hint="eastAsia"/>
          <w:sz w:val="28"/>
          <w:szCs w:val="28"/>
        </w:rPr>
        <w:t>非投資等級債（全部幣別2.89%，台幣1.48%）</w:t>
      </w:r>
      <w:r w:rsidR="004B1341">
        <w:rPr>
          <w:rFonts w:ascii="微軟正黑體" w:eastAsia="微軟正黑體" w:hAnsi="微軟正黑體" w:hint="eastAsia"/>
          <w:sz w:val="28"/>
          <w:szCs w:val="28"/>
        </w:rPr>
        <w:t>是表現較佳的子類</w:t>
      </w:r>
      <w:r w:rsidR="004B1341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8E38B9B" w14:textId="7D62E1B7" w:rsidR="00B372E4" w:rsidRDefault="004B1341" w:rsidP="00B372E4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債券股票平衡型基金2月份投資國內平衡型明顯優於跨國平衡型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受到2月台股正報酬影響，國內平衡型基金平均報酬率達3.05%，而受到跨國投資2月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股債雙殺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的影響，跨國平衡型及多重資產型基金各子類平均報酬皆為負值，如全球平衡型（全部幣別-1.79%，台幣</w:t>
      </w:r>
      <w:r w:rsidR="0060168B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>
        <w:rPr>
          <w:rFonts w:ascii="微軟正黑體" w:eastAsia="微軟正黑體" w:hAnsi="微軟正黑體" w:hint="eastAsia"/>
          <w:sz w:val="28"/>
          <w:szCs w:val="28"/>
        </w:rPr>
        <w:t>-1.52%）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中國大陸平衡型（全部幣別-2.66%，台幣-2.81%）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多重資產型（全部幣別-1.98%，台幣-1.64%）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從年初到2月底平衡型基金</w:t>
      </w:r>
      <w:r w:rsidR="0060168B">
        <w:rPr>
          <w:rFonts w:ascii="微軟正黑體" w:eastAsia="微軟正黑體" w:hAnsi="微軟正黑體" w:hint="eastAsia"/>
          <w:sz w:val="28"/>
          <w:szCs w:val="28"/>
        </w:rPr>
        <w:t>表現亦是國內優於國外</w:t>
      </w:r>
      <w:r w:rsidR="0060168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60168B">
        <w:rPr>
          <w:rFonts w:ascii="微軟正黑體" w:eastAsia="微軟正黑體" w:hAnsi="微軟正黑體" w:hint="eastAsia"/>
          <w:sz w:val="28"/>
          <w:szCs w:val="28"/>
        </w:rPr>
        <w:t>國內平衡型基金</w:t>
      </w:r>
      <w:r>
        <w:rPr>
          <w:rFonts w:ascii="微軟正黑體" w:eastAsia="微軟正黑體" w:hAnsi="微軟正黑體" w:hint="eastAsia"/>
          <w:sz w:val="28"/>
          <w:szCs w:val="28"/>
        </w:rPr>
        <w:t>平均報酬率8.19%，遠超過全球平衡型（全部幣別0.90%，台幣0.28%）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亞洲平衡型（全部幣別2.73%，台幣1.77%）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中國大陸平衡型（全部幣別1.41%，台幣0.78%）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多重資產型（全部幣別2.24%，台幣1.68%）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710C1B1" w14:textId="573A018B" w:rsidR="00B372E4" w:rsidRDefault="004B1341" w:rsidP="004B1341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不動產證券化基金對利率變動相當敏感，2月份（全部幣別</w:t>
      </w:r>
      <w:r w:rsidR="0060168B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>
        <w:rPr>
          <w:rFonts w:ascii="微軟正黑體" w:eastAsia="微軟正黑體" w:hAnsi="微軟正黑體" w:hint="eastAsia"/>
          <w:sz w:val="28"/>
          <w:szCs w:val="28"/>
        </w:rPr>
        <w:t>-3.96%，台幣-3.74%）損失甚重，不過綜合1月份的正報酬後，年初迄今（全部幣別1.43%，台幣1.02%）仍有小幅正報酬，與債券型基金狀況類似</w:t>
      </w:r>
      <w:r w:rsidR="008477C3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A165370" w14:textId="6C555A9D" w:rsidR="00F35930" w:rsidRDefault="00F35930" w:rsidP="00FA1BBA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</w:p>
    <w:sectPr w:rsidR="00F359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6BA84" w14:textId="77777777" w:rsidR="001F6F03" w:rsidRDefault="001F6F03" w:rsidP="001F48D9">
      <w:r>
        <w:separator/>
      </w:r>
    </w:p>
  </w:endnote>
  <w:endnote w:type="continuationSeparator" w:id="0">
    <w:p w14:paraId="768F26DF" w14:textId="77777777" w:rsidR="001F6F03" w:rsidRDefault="001F6F03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1F48D9" w:rsidRDefault="001F4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78"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1F48D9" w:rsidRDefault="001F4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B672" w14:textId="77777777" w:rsidR="001F6F03" w:rsidRDefault="001F6F03" w:rsidP="001F48D9">
      <w:r>
        <w:separator/>
      </w:r>
    </w:p>
  </w:footnote>
  <w:footnote w:type="continuationSeparator" w:id="0">
    <w:p w14:paraId="766BF864" w14:textId="77777777" w:rsidR="001F6F03" w:rsidRDefault="001F6F03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23D6"/>
    <w:rsid w:val="000334A8"/>
    <w:rsid w:val="00047338"/>
    <w:rsid w:val="00047C66"/>
    <w:rsid w:val="00075D5D"/>
    <w:rsid w:val="00080F13"/>
    <w:rsid w:val="000A5F9D"/>
    <w:rsid w:val="000B100A"/>
    <w:rsid w:val="000C0889"/>
    <w:rsid w:val="000E07CB"/>
    <w:rsid w:val="0013140A"/>
    <w:rsid w:val="0017005A"/>
    <w:rsid w:val="00190825"/>
    <w:rsid w:val="001B5788"/>
    <w:rsid w:val="001E4827"/>
    <w:rsid w:val="001F48D9"/>
    <w:rsid w:val="001F6F03"/>
    <w:rsid w:val="0021693B"/>
    <w:rsid w:val="002220BF"/>
    <w:rsid w:val="00261B1D"/>
    <w:rsid w:val="00266E7B"/>
    <w:rsid w:val="002752A2"/>
    <w:rsid w:val="002B04E7"/>
    <w:rsid w:val="002E6173"/>
    <w:rsid w:val="002F27AF"/>
    <w:rsid w:val="00307C9D"/>
    <w:rsid w:val="00331AA2"/>
    <w:rsid w:val="003357FD"/>
    <w:rsid w:val="00373A3D"/>
    <w:rsid w:val="003A13F3"/>
    <w:rsid w:val="003A2D0B"/>
    <w:rsid w:val="003B2314"/>
    <w:rsid w:val="00401A0F"/>
    <w:rsid w:val="00434701"/>
    <w:rsid w:val="00436978"/>
    <w:rsid w:val="00481FB0"/>
    <w:rsid w:val="00491C31"/>
    <w:rsid w:val="004A2003"/>
    <w:rsid w:val="004B1341"/>
    <w:rsid w:val="004B162D"/>
    <w:rsid w:val="004E6BA8"/>
    <w:rsid w:val="004F0B1F"/>
    <w:rsid w:val="005231E0"/>
    <w:rsid w:val="00546E3D"/>
    <w:rsid w:val="005552DB"/>
    <w:rsid w:val="005C1AA7"/>
    <w:rsid w:val="0060168B"/>
    <w:rsid w:val="006159B2"/>
    <w:rsid w:val="00621DCB"/>
    <w:rsid w:val="006324B9"/>
    <w:rsid w:val="006404AC"/>
    <w:rsid w:val="00651AF6"/>
    <w:rsid w:val="006C0491"/>
    <w:rsid w:val="006D7128"/>
    <w:rsid w:val="006D7788"/>
    <w:rsid w:val="006F29A6"/>
    <w:rsid w:val="006F5009"/>
    <w:rsid w:val="00701796"/>
    <w:rsid w:val="0070738F"/>
    <w:rsid w:val="00707A1D"/>
    <w:rsid w:val="00760401"/>
    <w:rsid w:val="00771351"/>
    <w:rsid w:val="00777A28"/>
    <w:rsid w:val="007A0A60"/>
    <w:rsid w:val="007B43FA"/>
    <w:rsid w:val="007C5AD5"/>
    <w:rsid w:val="007D028E"/>
    <w:rsid w:val="007D4A0B"/>
    <w:rsid w:val="007E1E2E"/>
    <w:rsid w:val="00805E9A"/>
    <w:rsid w:val="00845DCF"/>
    <w:rsid w:val="008477C3"/>
    <w:rsid w:val="00865897"/>
    <w:rsid w:val="00871F74"/>
    <w:rsid w:val="008946D3"/>
    <w:rsid w:val="00930CB5"/>
    <w:rsid w:val="00936607"/>
    <w:rsid w:val="00975993"/>
    <w:rsid w:val="00984550"/>
    <w:rsid w:val="0098691D"/>
    <w:rsid w:val="009D6903"/>
    <w:rsid w:val="009E56E7"/>
    <w:rsid w:val="009F1B62"/>
    <w:rsid w:val="00A04DFF"/>
    <w:rsid w:val="00A1589E"/>
    <w:rsid w:val="00A53BF3"/>
    <w:rsid w:val="00A5636C"/>
    <w:rsid w:val="00A81D42"/>
    <w:rsid w:val="00A95F7A"/>
    <w:rsid w:val="00AC7F0A"/>
    <w:rsid w:val="00AD648C"/>
    <w:rsid w:val="00B01C0E"/>
    <w:rsid w:val="00B03363"/>
    <w:rsid w:val="00B372E4"/>
    <w:rsid w:val="00B4559B"/>
    <w:rsid w:val="00B6323C"/>
    <w:rsid w:val="00B66F77"/>
    <w:rsid w:val="00BB1179"/>
    <w:rsid w:val="00BD098E"/>
    <w:rsid w:val="00BE5F52"/>
    <w:rsid w:val="00BF1343"/>
    <w:rsid w:val="00BF2678"/>
    <w:rsid w:val="00C00F9C"/>
    <w:rsid w:val="00C527E1"/>
    <w:rsid w:val="00C62771"/>
    <w:rsid w:val="00C71C9A"/>
    <w:rsid w:val="00C779F4"/>
    <w:rsid w:val="00C87BC3"/>
    <w:rsid w:val="00CA1858"/>
    <w:rsid w:val="00CB0375"/>
    <w:rsid w:val="00CB66D6"/>
    <w:rsid w:val="00CC151D"/>
    <w:rsid w:val="00CC32EF"/>
    <w:rsid w:val="00CC55CB"/>
    <w:rsid w:val="00CD2F9F"/>
    <w:rsid w:val="00CE167B"/>
    <w:rsid w:val="00D3586C"/>
    <w:rsid w:val="00D40967"/>
    <w:rsid w:val="00D6390F"/>
    <w:rsid w:val="00D93DB3"/>
    <w:rsid w:val="00D93EF1"/>
    <w:rsid w:val="00D944BE"/>
    <w:rsid w:val="00DA3D2A"/>
    <w:rsid w:val="00DB20E7"/>
    <w:rsid w:val="00DB7B63"/>
    <w:rsid w:val="00DD121B"/>
    <w:rsid w:val="00DD4BD2"/>
    <w:rsid w:val="00DF7888"/>
    <w:rsid w:val="00E30CAE"/>
    <w:rsid w:val="00E316AE"/>
    <w:rsid w:val="00E323EC"/>
    <w:rsid w:val="00EA1B12"/>
    <w:rsid w:val="00EC5EFB"/>
    <w:rsid w:val="00EF26AA"/>
    <w:rsid w:val="00F26415"/>
    <w:rsid w:val="00F35930"/>
    <w:rsid w:val="00F50D98"/>
    <w:rsid w:val="00F950FF"/>
    <w:rsid w:val="00FA1BBA"/>
    <w:rsid w:val="00FD7967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344</Words>
  <Characters>1965</Characters>
  <Application>Microsoft Office Word</Application>
  <DocSecurity>0</DocSecurity>
  <Lines>16</Lines>
  <Paragraphs>4</Paragraphs>
  <ScaleCrop>false</ScaleCrop>
  <Company>Toshiba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23</cp:revision>
  <cp:lastPrinted>2023-03-06T02:34:00Z</cp:lastPrinted>
  <dcterms:created xsi:type="dcterms:W3CDTF">2022-11-09T04:01:00Z</dcterms:created>
  <dcterms:modified xsi:type="dcterms:W3CDTF">2023-03-06T04:52:00Z</dcterms:modified>
</cp:coreProperties>
</file>