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58664" w14:textId="14FA2CC3" w:rsidR="00CB66D6" w:rsidRPr="00975993" w:rsidRDefault="00D924C1" w:rsidP="00D6390F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台股基金終止開年連漲 唯累積報酬仍佳</w:t>
      </w:r>
    </w:p>
    <w:p w14:paraId="27B16D77" w14:textId="738DA854" w:rsidR="00D6390F" w:rsidRDefault="00D6390F" w:rsidP="00D6390F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50D98">
        <w:rPr>
          <w:rFonts w:ascii="微軟正黑體" w:eastAsia="微軟正黑體" w:hAnsi="微軟正黑體" w:hint="eastAsia"/>
          <w:b/>
          <w:sz w:val="32"/>
          <w:szCs w:val="32"/>
        </w:rPr>
        <w:t xml:space="preserve">  邱顯比</w:t>
      </w:r>
      <w:r w:rsidR="00F50D98" w:rsidRPr="00F50D98">
        <w:rPr>
          <w:rFonts w:ascii="微軟正黑體" w:eastAsia="微軟正黑體" w:hAnsi="微軟正黑體" w:hint="eastAsia"/>
          <w:b/>
          <w:sz w:val="32"/>
          <w:szCs w:val="32"/>
        </w:rPr>
        <w:t xml:space="preserve">　李存修</w:t>
      </w:r>
    </w:p>
    <w:p w14:paraId="1C7F83BF" w14:textId="60B23D7F" w:rsidR="00FE1173" w:rsidRPr="00975993" w:rsidRDefault="00FE1173" w:rsidP="00C71C9A">
      <w:pPr>
        <w:rPr>
          <w:rFonts w:ascii="微軟正黑體" w:eastAsia="微軟正黑體" w:hAnsi="微軟正黑體"/>
          <w:b/>
          <w:sz w:val="20"/>
          <w:szCs w:val="20"/>
        </w:rPr>
      </w:pPr>
    </w:p>
    <w:p w14:paraId="642E4654" w14:textId="0BDE99B4" w:rsidR="00D924C1" w:rsidRDefault="00D924C1" w:rsidP="00D924C1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四月金融市場的基調主要在通膨降溫，升息接近終點，美歐銀行危機緩解等正面因素；但另一方面經濟衰退陰影籠罩，製造業服務業I</w:t>
      </w:r>
      <w:r>
        <w:rPr>
          <w:rFonts w:ascii="微軟正黑體" w:eastAsia="微軟正黑體" w:hAnsi="微軟正黑體"/>
          <w:sz w:val="28"/>
          <w:szCs w:val="28"/>
        </w:rPr>
        <w:t>SM</w:t>
      </w:r>
      <w:r>
        <w:rPr>
          <w:rFonts w:ascii="微軟正黑體" w:eastAsia="微軟正黑體" w:hAnsi="微軟正黑體" w:hint="eastAsia"/>
          <w:sz w:val="28"/>
          <w:szCs w:val="28"/>
        </w:rPr>
        <w:t>指數持續下探，市場情緒在樂觀悲觀間交錯</w:t>
      </w:r>
      <w:r w:rsidR="00D93EF1"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>
        <w:rPr>
          <w:rFonts w:ascii="微軟正黑體" w:eastAsia="微軟正黑體" w:hAnsi="微軟正黑體" w:hint="eastAsia"/>
          <w:sz w:val="28"/>
          <w:szCs w:val="28"/>
        </w:rPr>
        <w:t>美國道瓊工業指數上漲2.48%，標準普爾指數上漲1.46%，以科技股為主的</w:t>
      </w:r>
      <w:r>
        <w:rPr>
          <w:rFonts w:ascii="微軟正黑體" w:eastAsia="微軟正黑體" w:hAnsi="微軟正黑體"/>
          <w:sz w:val="28"/>
          <w:szCs w:val="28"/>
        </w:rPr>
        <w:t>NASDAQ</w:t>
      </w:r>
      <w:r>
        <w:rPr>
          <w:rFonts w:ascii="微軟正黑體" w:eastAsia="微軟正黑體" w:hAnsi="微軟正黑體" w:hint="eastAsia"/>
          <w:sz w:val="28"/>
          <w:szCs w:val="28"/>
        </w:rPr>
        <w:t>指數則僅小漲0.04%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>
        <w:rPr>
          <w:rFonts w:ascii="微軟正黑體" w:eastAsia="微軟正黑體" w:hAnsi="微軟正黑體" w:hint="eastAsia"/>
          <w:sz w:val="28"/>
          <w:szCs w:val="28"/>
        </w:rPr>
        <w:t>歐洲多家上市公司第一季財報優於預期，M</w:t>
      </w:r>
      <w:r>
        <w:rPr>
          <w:rFonts w:ascii="微軟正黑體" w:eastAsia="微軟正黑體" w:hAnsi="微軟正黑體"/>
          <w:sz w:val="28"/>
          <w:szCs w:val="28"/>
        </w:rPr>
        <w:t>SCI</w:t>
      </w:r>
      <w:r>
        <w:rPr>
          <w:rFonts w:ascii="微軟正黑體" w:eastAsia="微軟正黑體" w:hAnsi="微軟正黑體" w:hint="eastAsia"/>
          <w:sz w:val="28"/>
          <w:szCs w:val="28"/>
        </w:rPr>
        <w:t>歐洲指數上漲2.64%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>
        <w:rPr>
          <w:rFonts w:ascii="微軟正黑體" w:eastAsia="微軟正黑體" w:hAnsi="微軟正黑體" w:hint="eastAsia"/>
          <w:sz w:val="28"/>
          <w:szCs w:val="28"/>
        </w:rPr>
        <w:t>中國股市一方面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有解封經濟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重啟，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政府維穩貨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幣寬鬆的正面因素，另一方面美中競爭加劇，對中國科技業可能有新一輪限制措施，上證指數上漲1.54%但深圳成指下跌3.31%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>
        <w:rPr>
          <w:rFonts w:ascii="微軟正黑體" w:eastAsia="微軟正黑體" w:hAnsi="微軟正黑體" w:hint="eastAsia"/>
          <w:sz w:val="28"/>
          <w:szCs w:val="28"/>
        </w:rPr>
        <w:t>M</w:t>
      </w:r>
      <w:r>
        <w:rPr>
          <w:rFonts w:ascii="微軟正黑體" w:eastAsia="微軟正黑體" w:hAnsi="微軟正黑體"/>
          <w:sz w:val="28"/>
          <w:szCs w:val="28"/>
        </w:rPr>
        <w:t>SCI</w:t>
      </w:r>
      <w:r>
        <w:rPr>
          <w:rFonts w:ascii="微軟正黑體" w:eastAsia="微軟正黑體" w:hAnsi="微軟正黑體" w:hint="eastAsia"/>
          <w:sz w:val="28"/>
          <w:szCs w:val="28"/>
        </w:rPr>
        <w:t>世界</w:t>
      </w:r>
      <w:r w:rsidR="0021741B">
        <w:rPr>
          <w:rFonts w:ascii="微軟正黑體" w:eastAsia="微軟正黑體" w:hAnsi="微軟正黑體" w:hint="eastAsia"/>
          <w:sz w:val="28"/>
          <w:szCs w:val="28"/>
        </w:rPr>
        <w:t>指數上漲1.48%，主要來自成熟市場貢獻，新興市場指數下跌1.11%</w:t>
      </w:r>
      <w:r w:rsidR="0021741B"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 w:rsidR="0021741B">
        <w:rPr>
          <w:rFonts w:ascii="微軟正黑體" w:eastAsia="微軟正黑體" w:hAnsi="微軟正黑體" w:hint="eastAsia"/>
          <w:sz w:val="28"/>
          <w:szCs w:val="28"/>
        </w:rPr>
        <w:t>從年初到四月底，歐股從2022年重跌後大幅反彈，M</w:t>
      </w:r>
      <w:r w:rsidR="0021741B">
        <w:rPr>
          <w:rFonts w:ascii="微軟正黑體" w:eastAsia="微軟正黑體" w:hAnsi="微軟正黑體"/>
          <w:sz w:val="28"/>
          <w:szCs w:val="28"/>
        </w:rPr>
        <w:t>SCI</w:t>
      </w:r>
      <w:r w:rsidR="0021741B">
        <w:rPr>
          <w:rFonts w:ascii="微軟正黑體" w:eastAsia="微軟正黑體" w:hAnsi="微軟正黑體" w:hint="eastAsia"/>
          <w:sz w:val="28"/>
          <w:szCs w:val="28"/>
        </w:rPr>
        <w:t>歐洲指數已上漲18.36%</w:t>
      </w:r>
      <w:r w:rsidR="0021741B"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 w:rsidR="0021741B">
        <w:rPr>
          <w:rFonts w:ascii="微軟正黑體" w:eastAsia="微軟正黑體" w:hAnsi="微軟正黑體" w:hint="eastAsia"/>
          <w:sz w:val="28"/>
          <w:szCs w:val="28"/>
        </w:rPr>
        <w:t>美國則以N</w:t>
      </w:r>
      <w:r w:rsidR="0021741B">
        <w:rPr>
          <w:rFonts w:ascii="微軟正黑體" w:eastAsia="微軟正黑體" w:hAnsi="微軟正黑體"/>
          <w:sz w:val="28"/>
          <w:szCs w:val="28"/>
        </w:rPr>
        <w:t>ASDAQ</w:t>
      </w:r>
      <w:r w:rsidR="0021741B">
        <w:rPr>
          <w:rFonts w:ascii="微軟正黑體" w:eastAsia="微軟正黑體" w:hAnsi="微軟正黑體" w:hint="eastAsia"/>
          <w:sz w:val="28"/>
          <w:szCs w:val="28"/>
        </w:rPr>
        <w:t>指數上漲16.82%最多，標準普爾指數上漲8.59%，道瓊工業指數僅小漲2.87%</w:t>
      </w:r>
      <w:r w:rsidR="0021741B"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 w:rsidR="0021741B">
        <w:rPr>
          <w:rFonts w:ascii="微軟正黑體" w:eastAsia="微軟正黑體" w:hAnsi="微軟正黑體" w:hint="eastAsia"/>
          <w:sz w:val="28"/>
          <w:szCs w:val="28"/>
        </w:rPr>
        <w:t>日本日經225指數上漲1</w:t>
      </w:r>
      <w:r w:rsidR="0021741B">
        <w:rPr>
          <w:rFonts w:ascii="微軟正黑體" w:eastAsia="微軟正黑體" w:hAnsi="微軟正黑體"/>
          <w:sz w:val="28"/>
          <w:szCs w:val="28"/>
        </w:rPr>
        <w:t>0.58%</w:t>
      </w:r>
      <w:r w:rsidR="0021741B">
        <w:rPr>
          <w:rFonts w:ascii="微軟正黑體" w:eastAsia="微軟正黑體" w:hAnsi="微軟正黑體" w:hint="eastAsia"/>
          <w:sz w:val="28"/>
          <w:szCs w:val="28"/>
        </w:rPr>
        <w:t>，</w:t>
      </w:r>
      <w:proofErr w:type="spellStart"/>
      <w:r w:rsidR="0021741B">
        <w:rPr>
          <w:rFonts w:ascii="微軟正黑體" w:eastAsia="微軟正黑體" w:hAnsi="微軟正黑體" w:hint="eastAsia"/>
          <w:sz w:val="28"/>
          <w:szCs w:val="28"/>
        </w:rPr>
        <w:t>Topix</w:t>
      </w:r>
      <w:proofErr w:type="spellEnd"/>
      <w:r w:rsidR="0021741B">
        <w:rPr>
          <w:rFonts w:ascii="微軟正黑體" w:eastAsia="微軟正黑體" w:hAnsi="微軟正黑體" w:hint="eastAsia"/>
          <w:sz w:val="28"/>
          <w:szCs w:val="28"/>
        </w:rPr>
        <w:t>指數上漲8.76%，表現也不錯</w:t>
      </w:r>
      <w:r w:rsidR="0021741B"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 w:rsidR="0021741B">
        <w:rPr>
          <w:rFonts w:ascii="微軟正黑體" w:eastAsia="微軟正黑體" w:hAnsi="微軟正黑體" w:hint="eastAsia"/>
          <w:sz w:val="28"/>
          <w:szCs w:val="28"/>
        </w:rPr>
        <w:t>中國上證指數上漲7.57%，深圳</w:t>
      </w:r>
      <w:proofErr w:type="gramStart"/>
      <w:r w:rsidR="0021741B">
        <w:rPr>
          <w:rFonts w:ascii="微軟正黑體" w:eastAsia="微軟正黑體" w:hAnsi="微軟正黑體" w:hint="eastAsia"/>
          <w:sz w:val="28"/>
          <w:szCs w:val="28"/>
        </w:rPr>
        <w:t>成指</w:t>
      </w:r>
      <w:r w:rsidR="00BD11E2">
        <w:rPr>
          <w:rFonts w:ascii="微軟正黑體" w:eastAsia="微軟正黑體" w:hAnsi="微軟正黑體" w:hint="eastAsia"/>
          <w:sz w:val="28"/>
          <w:szCs w:val="28"/>
        </w:rPr>
        <w:t>僅小</w:t>
      </w:r>
      <w:proofErr w:type="gramEnd"/>
      <w:r w:rsidR="00BD11E2">
        <w:rPr>
          <w:rFonts w:ascii="微軟正黑體" w:eastAsia="微軟正黑體" w:hAnsi="微軟正黑體" w:hint="eastAsia"/>
          <w:sz w:val="28"/>
          <w:szCs w:val="28"/>
        </w:rPr>
        <w:t>漲2.93%</w:t>
      </w:r>
      <w:r w:rsidR="00BD11E2"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 w:rsidR="00BD11E2">
        <w:rPr>
          <w:rFonts w:ascii="微軟正黑體" w:eastAsia="微軟正黑體" w:hAnsi="微軟正黑體"/>
          <w:sz w:val="28"/>
          <w:szCs w:val="28"/>
        </w:rPr>
        <w:t>MSCI</w:t>
      </w:r>
      <w:r w:rsidR="00BD11E2">
        <w:rPr>
          <w:rFonts w:ascii="微軟正黑體" w:eastAsia="微軟正黑體" w:hAnsi="微軟正黑體" w:hint="eastAsia"/>
          <w:sz w:val="28"/>
          <w:szCs w:val="28"/>
        </w:rPr>
        <w:t>世界指數自年初以來上漲9.04%</w:t>
      </w:r>
      <w:r w:rsidR="00BD11E2" w:rsidRPr="00EA1B12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75BB405D" w14:textId="36C5799E" w:rsidR="00BD11E2" w:rsidRDefault="00BD11E2" w:rsidP="00D924C1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790檔跨國投資股票型基金四月平均報酬率-0.78%，低於M</w:t>
      </w:r>
      <w:r>
        <w:rPr>
          <w:rFonts w:ascii="微軟正黑體" w:eastAsia="微軟正黑體" w:hAnsi="微軟正黑體"/>
          <w:sz w:val="28"/>
          <w:szCs w:val="28"/>
        </w:rPr>
        <w:t>SCI</w:t>
      </w:r>
      <w:r>
        <w:rPr>
          <w:rFonts w:ascii="微軟正黑體" w:eastAsia="微軟正黑體" w:hAnsi="微軟正黑體" w:hint="eastAsia"/>
          <w:sz w:val="28"/>
          <w:szCs w:val="28"/>
        </w:rPr>
        <w:lastRenderedPageBreak/>
        <w:t>世界指數，339檔全球一般股票型</w:t>
      </w:r>
      <w:r w:rsidR="006D766B">
        <w:rPr>
          <w:rFonts w:ascii="微軟正黑體" w:eastAsia="微軟正黑體" w:hAnsi="微軟正黑體" w:hint="eastAsia"/>
          <w:sz w:val="28"/>
          <w:szCs w:val="28"/>
        </w:rPr>
        <w:t>（全-0.23%，台0.45%）亦表現不佳</w:t>
      </w:r>
      <w:r w:rsidR="006D766B"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 w:rsidR="006D766B">
        <w:rPr>
          <w:rFonts w:ascii="微軟正黑體" w:eastAsia="微軟正黑體" w:hAnsi="微軟正黑體" w:hint="eastAsia"/>
          <w:sz w:val="28"/>
          <w:szCs w:val="28"/>
        </w:rPr>
        <w:t>歐洲股票型（4.24%）與其他單一市場股票型（全3.17%，台3.00%）是表現較好的子類</w:t>
      </w:r>
      <w:r w:rsidR="006D766B"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 w:rsidR="006D766B">
        <w:rPr>
          <w:rFonts w:ascii="微軟正黑體" w:eastAsia="微軟正黑體" w:hAnsi="微軟正黑體" w:hint="eastAsia"/>
          <w:sz w:val="28"/>
          <w:szCs w:val="28"/>
        </w:rPr>
        <w:t>大中華區股票型（全-3.92%，台-3.78%）及中國大陸A股（全-</w:t>
      </w:r>
      <w:r w:rsidR="006D766B">
        <w:rPr>
          <w:rFonts w:ascii="微軟正黑體" w:eastAsia="微軟正黑體" w:hAnsi="微軟正黑體"/>
          <w:sz w:val="28"/>
          <w:szCs w:val="28"/>
        </w:rPr>
        <w:t>3.08</w:t>
      </w:r>
      <w:r w:rsidR="006D766B">
        <w:rPr>
          <w:rFonts w:ascii="微軟正黑體" w:eastAsia="微軟正黑體" w:hAnsi="微軟正黑體" w:hint="eastAsia"/>
          <w:sz w:val="28"/>
          <w:szCs w:val="28"/>
        </w:rPr>
        <w:t>%，台-</w:t>
      </w:r>
      <w:r w:rsidR="006D766B">
        <w:rPr>
          <w:rFonts w:ascii="微軟正黑體" w:eastAsia="微軟正黑體" w:hAnsi="微軟正黑體"/>
          <w:sz w:val="28"/>
          <w:szCs w:val="28"/>
        </w:rPr>
        <w:t>3.05</w:t>
      </w:r>
      <w:r w:rsidR="006D766B">
        <w:rPr>
          <w:rFonts w:ascii="微軟正黑體" w:eastAsia="微軟正黑體" w:hAnsi="微軟正黑體" w:hint="eastAsia"/>
          <w:sz w:val="28"/>
          <w:szCs w:val="28"/>
        </w:rPr>
        <w:t>%）是表現較差的子類</w:t>
      </w:r>
      <w:r w:rsidR="006D766B"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 w:rsidR="006D766B">
        <w:rPr>
          <w:rFonts w:ascii="微軟正黑體" w:eastAsia="微軟正黑體" w:hAnsi="微軟正黑體" w:hint="eastAsia"/>
          <w:sz w:val="28"/>
          <w:szCs w:val="28"/>
        </w:rPr>
        <w:t>從年初到四月底772檔跨國投資股票型基金平均報酬率4.</w:t>
      </w:r>
      <w:r w:rsidR="00DC447E">
        <w:rPr>
          <w:rFonts w:ascii="微軟正黑體" w:eastAsia="微軟正黑體" w:hAnsi="微軟正黑體" w:hint="eastAsia"/>
          <w:sz w:val="28"/>
          <w:szCs w:val="28"/>
        </w:rPr>
        <w:t>28</w:t>
      </w:r>
      <w:r w:rsidR="006D766B">
        <w:rPr>
          <w:rFonts w:ascii="微軟正黑體" w:eastAsia="微軟正黑體" w:hAnsi="微軟正黑體" w:hint="eastAsia"/>
          <w:sz w:val="28"/>
          <w:szCs w:val="28"/>
        </w:rPr>
        <w:t>%，不如M</w:t>
      </w:r>
      <w:r w:rsidR="006D766B">
        <w:rPr>
          <w:rFonts w:ascii="微軟正黑體" w:eastAsia="微軟正黑體" w:hAnsi="微軟正黑體"/>
          <w:sz w:val="28"/>
          <w:szCs w:val="28"/>
        </w:rPr>
        <w:t>SCI</w:t>
      </w:r>
      <w:r w:rsidR="006D766B">
        <w:rPr>
          <w:rFonts w:ascii="微軟正黑體" w:eastAsia="微軟正黑體" w:hAnsi="微軟正黑體" w:hint="eastAsia"/>
          <w:sz w:val="28"/>
          <w:szCs w:val="28"/>
        </w:rPr>
        <w:t>世界指數，全球一般</w:t>
      </w:r>
      <w:r w:rsidR="00D84C08">
        <w:rPr>
          <w:rFonts w:ascii="微軟正黑體" w:eastAsia="微軟正黑體" w:hAnsi="微軟正黑體" w:hint="eastAsia"/>
          <w:sz w:val="28"/>
          <w:szCs w:val="28"/>
        </w:rPr>
        <w:t>股票</w:t>
      </w:r>
      <w:r w:rsidR="006D766B">
        <w:rPr>
          <w:rFonts w:ascii="微軟正黑體" w:eastAsia="微軟正黑體" w:hAnsi="微軟正黑體" w:hint="eastAsia"/>
          <w:sz w:val="28"/>
          <w:szCs w:val="28"/>
        </w:rPr>
        <w:t>型（全6.</w:t>
      </w:r>
      <w:r w:rsidR="00DC447E">
        <w:rPr>
          <w:rFonts w:ascii="微軟正黑體" w:eastAsia="微軟正黑體" w:hAnsi="微軟正黑體" w:hint="eastAsia"/>
          <w:sz w:val="28"/>
          <w:szCs w:val="28"/>
        </w:rPr>
        <w:t>66</w:t>
      </w:r>
      <w:r w:rsidR="006D766B">
        <w:rPr>
          <w:rFonts w:ascii="微軟正黑體" w:eastAsia="微軟正黑體" w:hAnsi="微軟正黑體" w:hint="eastAsia"/>
          <w:sz w:val="28"/>
          <w:szCs w:val="28"/>
        </w:rPr>
        <w:t>%，台6.</w:t>
      </w:r>
      <w:r w:rsidR="00DC447E">
        <w:rPr>
          <w:rFonts w:ascii="微軟正黑體" w:eastAsia="微軟正黑體" w:hAnsi="微軟正黑體" w:hint="eastAsia"/>
          <w:sz w:val="28"/>
          <w:szCs w:val="28"/>
        </w:rPr>
        <w:t>58</w:t>
      </w:r>
      <w:r w:rsidR="006D766B">
        <w:rPr>
          <w:rFonts w:ascii="微軟正黑體" w:eastAsia="微軟正黑體" w:hAnsi="微軟正黑體" w:hint="eastAsia"/>
          <w:sz w:val="28"/>
          <w:szCs w:val="28"/>
        </w:rPr>
        <w:t>%）</w:t>
      </w:r>
      <w:proofErr w:type="gramStart"/>
      <w:r w:rsidR="006D766B">
        <w:rPr>
          <w:rFonts w:ascii="微軟正黑體" w:eastAsia="微軟正黑體" w:hAnsi="微軟正黑體" w:hint="eastAsia"/>
          <w:sz w:val="28"/>
          <w:szCs w:val="28"/>
        </w:rPr>
        <w:t>亦遜於</w:t>
      </w:r>
      <w:proofErr w:type="gramEnd"/>
      <w:r w:rsidR="006D766B">
        <w:rPr>
          <w:rFonts w:ascii="微軟正黑體" w:eastAsia="微軟正黑體" w:hAnsi="微軟正黑體" w:hint="eastAsia"/>
          <w:sz w:val="28"/>
          <w:szCs w:val="28"/>
        </w:rPr>
        <w:t>指數</w:t>
      </w:r>
      <w:r w:rsidR="006D766B"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 w:rsidR="006D766B">
        <w:rPr>
          <w:rFonts w:ascii="微軟正黑體" w:eastAsia="微軟正黑體" w:hAnsi="微軟正黑體" w:hint="eastAsia"/>
          <w:sz w:val="28"/>
          <w:szCs w:val="28"/>
        </w:rPr>
        <w:t>歐洲股票型（13.78%）</w:t>
      </w:r>
      <w:r w:rsidR="006D766B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6D766B">
        <w:rPr>
          <w:rFonts w:ascii="微軟正黑體" w:eastAsia="微軟正黑體" w:hAnsi="微軟正黑體" w:hint="eastAsia"/>
          <w:sz w:val="28"/>
          <w:szCs w:val="28"/>
        </w:rPr>
        <w:t>美國股票型（12.71%）是報酬率較佳的子類</w:t>
      </w:r>
      <w:r w:rsidR="006D766B"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 w:rsidR="006D766B">
        <w:rPr>
          <w:rFonts w:ascii="微軟正黑體" w:eastAsia="微軟正黑體" w:hAnsi="微軟正黑體" w:hint="eastAsia"/>
          <w:sz w:val="28"/>
          <w:szCs w:val="28"/>
        </w:rPr>
        <w:t>大中華區股票型（全-1.69%，台-1.77%）是除</w:t>
      </w:r>
      <w:proofErr w:type="gramStart"/>
      <w:r w:rsidR="006D766B">
        <w:rPr>
          <w:rFonts w:ascii="微軟正黑體" w:eastAsia="微軟正黑體" w:hAnsi="微軟正黑體" w:hint="eastAsia"/>
          <w:sz w:val="28"/>
          <w:szCs w:val="28"/>
        </w:rPr>
        <w:t>反向型</w:t>
      </w:r>
      <w:proofErr w:type="gramEnd"/>
      <w:r w:rsidR="006D766B">
        <w:rPr>
          <w:rFonts w:ascii="微軟正黑體" w:eastAsia="微軟正黑體" w:hAnsi="微軟正黑體" w:hint="eastAsia"/>
          <w:sz w:val="28"/>
          <w:szCs w:val="28"/>
        </w:rPr>
        <w:t>E</w:t>
      </w:r>
      <w:r w:rsidR="006D766B">
        <w:rPr>
          <w:rFonts w:ascii="微軟正黑體" w:eastAsia="微軟正黑體" w:hAnsi="微軟正黑體"/>
          <w:sz w:val="28"/>
          <w:szCs w:val="28"/>
        </w:rPr>
        <w:t>TF</w:t>
      </w:r>
      <w:r w:rsidR="006D766B">
        <w:rPr>
          <w:rFonts w:ascii="微軟正黑體" w:eastAsia="微軟正黑體" w:hAnsi="微軟正黑體" w:hint="eastAsia"/>
          <w:sz w:val="28"/>
          <w:szCs w:val="28"/>
        </w:rPr>
        <w:t>外少數負報酬的子類</w:t>
      </w:r>
      <w:r w:rsidR="006D766B" w:rsidRPr="00EA1B12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4E746C18" w14:textId="1433AA80" w:rsidR="00D84C08" w:rsidRDefault="007B2E40" w:rsidP="00D84C08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台股四月受上市公司營收及財報不佳，電子業前途混沌，以及蔡英文總統訪美台海緊張升溫影響，台灣加權股價報酬指數下跌1.</w:t>
      </w:r>
      <w:r w:rsidR="000F4753">
        <w:rPr>
          <w:rFonts w:ascii="微軟正黑體" w:eastAsia="微軟正黑體" w:hAnsi="微軟正黑體"/>
          <w:sz w:val="28"/>
          <w:szCs w:val="28"/>
        </w:rPr>
        <w:t>74</w:t>
      </w:r>
      <w:r>
        <w:rPr>
          <w:rFonts w:ascii="微軟正黑體" w:eastAsia="微軟正黑體" w:hAnsi="微軟正黑體" w:hint="eastAsia"/>
          <w:sz w:val="28"/>
          <w:szCs w:val="28"/>
        </w:rPr>
        <w:t>%，終止今年開年以來連續3個月上漲，台灣50報酬指數（-3.41%）和電子報酬指數（-3.92%）跌幅更重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>
        <w:rPr>
          <w:rFonts w:ascii="微軟正黑體" w:eastAsia="微軟正黑體" w:hAnsi="微軟正黑體" w:hint="eastAsia"/>
          <w:sz w:val="28"/>
          <w:szCs w:val="28"/>
        </w:rPr>
        <w:t>230檔台股基金四月平均報酬率-2.30%，科技類（-3.40%）是損失最大的子類，上櫃股票型（-0.25%）是損失較小的子類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>
        <w:rPr>
          <w:rFonts w:ascii="微軟正黑體" w:eastAsia="微軟正黑體" w:hAnsi="微軟正黑體" w:hint="eastAsia"/>
          <w:sz w:val="28"/>
          <w:szCs w:val="28"/>
        </w:rPr>
        <w:t>不過累積今年前4個月，224檔台股基金平均</w:t>
      </w:r>
      <w:r w:rsidR="00D84C08">
        <w:rPr>
          <w:rFonts w:ascii="微軟正黑體" w:eastAsia="微軟正黑體" w:hAnsi="微軟正黑體" w:hint="eastAsia"/>
          <w:sz w:val="28"/>
          <w:szCs w:val="28"/>
        </w:rPr>
        <w:t>報酬率13.55%，超過台灣加權股價報酬指數（10.55%），而與電子報酬指數（13.24%）相近</w:t>
      </w:r>
      <w:r w:rsidR="00D84C08"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 w:rsidR="00D84C08">
        <w:rPr>
          <w:rFonts w:ascii="微軟正黑體" w:eastAsia="微軟正黑體" w:hAnsi="微軟正黑體" w:hint="eastAsia"/>
          <w:sz w:val="28"/>
          <w:szCs w:val="28"/>
        </w:rPr>
        <w:t>中</w:t>
      </w:r>
      <w:proofErr w:type="gramStart"/>
      <w:r w:rsidR="00D84C08">
        <w:rPr>
          <w:rFonts w:ascii="微軟正黑體" w:eastAsia="微軟正黑體" w:hAnsi="微軟正黑體" w:hint="eastAsia"/>
          <w:sz w:val="28"/>
          <w:szCs w:val="28"/>
        </w:rPr>
        <w:t>概股型</w:t>
      </w:r>
      <w:proofErr w:type="gramEnd"/>
      <w:r w:rsidR="00D84C08">
        <w:rPr>
          <w:rFonts w:ascii="微軟正黑體" w:eastAsia="微軟正黑體" w:hAnsi="微軟正黑體" w:hint="eastAsia"/>
          <w:sz w:val="28"/>
          <w:szCs w:val="28"/>
        </w:rPr>
        <w:t>（19.08%）是表現最佳的子類，這與跨國股票投資中的大中華區股票（全-1.69%，台-1.77%）形成一個鮮明的對比</w:t>
      </w:r>
      <w:r w:rsidR="00D84C08"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 w:rsidR="00D84C08">
        <w:rPr>
          <w:rFonts w:ascii="微軟正黑體" w:eastAsia="微軟正黑體" w:hAnsi="微軟正黑體" w:hint="eastAsia"/>
          <w:sz w:val="28"/>
          <w:szCs w:val="28"/>
        </w:rPr>
        <w:t>上櫃股票型（16.93%）表現亦佳，再來是科技類</w:t>
      </w:r>
      <w:r w:rsidR="00D84C08">
        <w:rPr>
          <w:rFonts w:ascii="微軟正黑體" w:eastAsia="微軟正黑體" w:hAnsi="微軟正黑體" w:hint="eastAsia"/>
          <w:sz w:val="28"/>
          <w:szCs w:val="28"/>
        </w:rPr>
        <w:lastRenderedPageBreak/>
        <w:t>（15.73%）及中小型（15.17%）</w:t>
      </w:r>
      <w:r w:rsidR="00D84C08"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 w:rsidR="00D84C08">
        <w:rPr>
          <w:rFonts w:ascii="微軟正黑體" w:eastAsia="微軟正黑體" w:hAnsi="微軟正黑體" w:hint="eastAsia"/>
          <w:sz w:val="28"/>
          <w:szCs w:val="28"/>
        </w:rPr>
        <w:t>除了4檔</w:t>
      </w:r>
      <w:proofErr w:type="gramStart"/>
      <w:r w:rsidR="00D84C08">
        <w:rPr>
          <w:rFonts w:ascii="微軟正黑體" w:eastAsia="微軟正黑體" w:hAnsi="微軟正黑體" w:hint="eastAsia"/>
          <w:sz w:val="28"/>
          <w:szCs w:val="28"/>
        </w:rPr>
        <w:t>反向型</w:t>
      </w:r>
      <w:proofErr w:type="gramEnd"/>
      <w:r w:rsidR="00D84C08">
        <w:rPr>
          <w:rFonts w:ascii="微軟正黑體" w:eastAsia="微軟正黑體" w:hAnsi="微軟正黑體" w:hint="eastAsia"/>
          <w:sz w:val="28"/>
          <w:szCs w:val="28"/>
        </w:rPr>
        <w:t>E</w:t>
      </w:r>
      <w:r w:rsidR="00D84C08">
        <w:rPr>
          <w:rFonts w:ascii="微軟正黑體" w:eastAsia="微軟正黑體" w:hAnsi="微軟正黑體"/>
          <w:sz w:val="28"/>
          <w:szCs w:val="28"/>
        </w:rPr>
        <w:t>TF</w:t>
      </w:r>
      <w:r w:rsidR="00D84C08">
        <w:rPr>
          <w:rFonts w:ascii="微軟正黑體" w:eastAsia="微軟正黑體" w:hAnsi="微軟正黑體" w:hint="eastAsia"/>
          <w:sz w:val="28"/>
          <w:szCs w:val="28"/>
        </w:rPr>
        <w:t>外，2</w:t>
      </w:r>
      <w:r w:rsidR="00D84C08">
        <w:rPr>
          <w:rFonts w:ascii="微軟正黑體" w:eastAsia="微軟正黑體" w:hAnsi="微軟正黑體"/>
          <w:sz w:val="28"/>
          <w:szCs w:val="28"/>
        </w:rPr>
        <w:t>20</w:t>
      </w:r>
      <w:r w:rsidR="00D84C08">
        <w:rPr>
          <w:rFonts w:ascii="微軟正黑體" w:eastAsia="微軟正黑體" w:hAnsi="微軟正黑體" w:hint="eastAsia"/>
          <w:sz w:val="28"/>
          <w:szCs w:val="28"/>
        </w:rPr>
        <w:t>檔台股基金年初迄今全為正報酬</w:t>
      </w:r>
      <w:r w:rsidR="00D84C08" w:rsidRPr="00EA1B12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3EEB3358" w14:textId="3DD03C9C" w:rsidR="00D84C08" w:rsidRDefault="00D84C08" w:rsidP="000334A8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美國公債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殖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利率四月份變動不大，投資等級債券型基金各子類四月</w:t>
      </w:r>
      <w:r w:rsidR="00753501">
        <w:rPr>
          <w:rFonts w:ascii="微軟正黑體" w:eastAsia="微軟正黑體" w:hAnsi="微軟正黑體" w:hint="eastAsia"/>
          <w:sz w:val="28"/>
          <w:szCs w:val="28"/>
        </w:rPr>
        <w:t>平均報酬率皆為正數，例如亞洲新興市場投資等級債（全0.99%，台1.29%）</w:t>
      </w:r>
      <w:r w:rsidR="00753501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753501">
        <w:rPr>
          <w:rFonts w:ascii="微軟正黑體" w:eastAsia="微軟正黑體" w:hAnsi="微軟正黑體" w:hint="eastAsia"/>
          <w:sz w:val="28"/>
          <w:szCs w:val="28"/>
        </w:rPr>
        <w:t>全球投資等級債（全0.82%，台1.19%）</w:t>
      </w:r>
      <w:r w:rsidR="00753501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753501">
        <w:rPr>
          <w:rFonts w:ascii="微軟正黑體" w:eastAsia="微軟正黑體" w:hAnsi="微軟正黑體" w:hint="eastAsia"/>
          <w:sz w:val="28"/>
          <w:szCs w:val="28"/>
        </w:rPr>
        <w:t>全球新興市場投資等級債（全0.70%，台1.01%）</w:t>
      </w:r>
      <w:r w:rsidR="00753501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753501">
        <w:rPr>
          <w:rFonts w:ascii="微軟正黑體" w:eastAsia="微軟正黑體" w:hAnsi="微軟正黑體" w:hint="eastAsia"/>
          <w:sz w:val="28"/>
          <w:szCs w:val="28"/>
        </w:rPr>
        <w:t>目標到期投資等級債（全0.55%，台1.02%）</w:t>
      </w:r>
      <w:r w:rsidR="00753501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753501">
        <w:rPr>
          <w:rFonts w:ascii="微軟正黑體" w:eastAsia="微軟正黑體" w:hAnsi="微軟正黑體" w:hint="eastAsia"/>
          <w:sz w:val="28"/>
          <w:szCs w:val="28"/>
        </w:rPr>
        <w:t>一般債券型E</w:t>
      </w:r>
      <w:r w:rsidR="00753501">
        <w:rPr>
          <w:rFonts w:ascii="微軟正黑體" w:eastAsia="微軟正黑體" w:hAnsi="微軟正黑體"/>
          <w:sz w:val="28"/>
          <w:szCs w:val="28"/>
        </w:rPr>
        <w:t>TF</w:t>
      </w:r>
      <w:r w:rsidR="00753501">
        <w:rPr>
          <w:rFonts w:ascii="微軟正黑體" w:eastAsia="微軟正黑體" w:hAnsi="微軟正黑體" w:hint="eastAsia"/>
          <w:sz w:val="28"/>
          <w:szCs w:val="28"/>
        </w:rPr>
        <w:t>（1</w:t>
      </w:r>
      <w:r w:rsidR="00753501">
        <w:rPr>
          <w:rFonts w:ascii="微軟正黑體" w:eastAsia="微軟正黑體" w:hAnsi="微軟正黑體"/>
          <w:sz w:val="28"/>
          <w:szCs w:val="28"/>
        </w:rPr>
        <w:t>.55</w:t>
      </w:r>
      <w:r w:rsidR="00753501">
        <w:rPr>
          <w:rFonts w:ascii="微軟正黑體" w:eastAsia="微軟正黑體" w:hAnsi="微軟正黑體" w:hint="eastAsia"/>
          <w:sz w:val="28"/>
          <w:szCs w:val="28"/>
        </w:rPr>
        <w:t>%）</w:t>
      </w:r>
      <w:r w:rsidR="00753501"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 w:rsidR="00753501">
        <w:rPr>
          <w:rFonts w:ascii="微軟正黑體" w:eastAsia="微軟正黑體" w:hAnsi="微軟正黑體" w:hint="eastAsia"/>
          <w:sz w:val="28"/>
          <w:szCs w:val="28"/>
        </w:rPr>
        <w:t>非投資等級債表現較差，如中國大陸非投資等級債（全-1.56%，台-0.31%），亞洲非投資等級債（全-0.41%，台-0.12%）</w:t>
      </w:r>
      <w:r w:rsidR="00753501"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 w:rsidR="00753501">
        <w:rPr>
          <w:rFonts w:ascii="微軟正黑體" w:eastAsia="微軟正黑體" w:hAnsi="微軟正黑體" w:hint="eastAsia"/>
          <w:sz w:val="28"/>
          <w:szCs w:val="28"/>
        </w:rPr>
        <w:t>從年初到四月底美國公債</w:t>
      </w:r>
      <w:proofErr w:type="gramStart"/>
      <w:r w:rsidR="00753501">
        <w:rPr>
          <w:rFonts w:ascii="微軟正黑體" w:eastAsia="微軟正黑體" w:hAnsi="微軟正黑體" w:hint="eastAsia"/>
          <w:sz w:val="28"/>
          <w:szCs w:val="28"/>
        </w:rPr>
        <w:t>殖</w:t>
      </w:r>
      <w:proofErr w:type="gramEnd"/>
      <w:r w:rsidR="00753501">
        <w:rPr>
          <w:rFonts w:ascii="微軟正黑體" w:eastAsia="微軟正黑體" w:hAnsi="微軟正黑體" w:hint="eastAsia"/>
          <w:sz w:val="28"/>
          <w:szCs w:val="28"/>
        </w:rPr>
        <w:t>利率有相當回落，例如10年期公債殖利率從3.79%降至3.44%，2年期公債殖利率由4.4%降至4.04%</w:t>
      </w:r>
      <w:r w:rsidR="00753501"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 w:rsidR="00753501">
        <w:rPr>
          <w:rFonts w:ascii="微軟正黑體" w:eastAsia="微軟正黑體" w:hAnsi="微軟正黑體" w:hint="eastAsia"/>
          <w:sz w:val="28"/>
          <w:szCs w:val="28"/>
        </w:rPr>
        <w:t>投資等級債券基金年初以來報酬率多在1%至3</w:t>
      </w:r>
      <w:r w:rsidR="00753501">
        <w:rPr>
          <w:rFonts w:ascii="微軟正黑體" w:eastAsia="微軟正黑體" w:hAnsi="微軟正黑體"/>
          <w:sz w:val="28"/>
          <w:szCs w:val="28"/>
        </w:rPr>
        <w:t>%</w:t>
      </w:r>
      <w:r w:rsidR="00753501">
        <w:rPr>
          <w:rFonts w:ascii="微軟正黑體" w:eastAsia="微軟正黑體" w:hAnsi="微軟正黑體" w:hint="eastAsia"/>
          <w:sz w:val="28"/>
          <w:szCs w:val="28"/>
        </w:rPr>
        <w:t>之間，如</w:t>
      </w:r>
      <w:r w:rsidR="001F5897">
        <w:rPr>
          <w:rFonts w:ascii="微軟正黑體" w:eastAsia="微軟正黑體" w:hAnsi="微軟正黑體" w:hint="eastAsia"/>
          <w:sz w:val="28"/>
          <w:szCs w:val="28"/>
        </w:rPr>
        <w:t>全球投資等級債（全2.84%，台2.58%）</w:t>
      </w:r>
      <w:r w:rsidR="001F5897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1F5897">
        <w:rPr>
          <w:rFonts w:ascii="微軟正黑體" w:eastAsia="微軟正黑體" w:hAnsi="微軟正黑體" w:hint="eastAsia"/>
          <w:sz w:val="28"/>
          <w:szCs w:val="28"/>
        </w:rPr>
        <w:t>美國投資等級債（2.82%）</w:t>
      </w:r>
      <w:r w:rsidR="001F5897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1F5897">
        <w:rPr>
          <w:rFonts w:ascii="微軟正黑體" w:eastAsia="微軟正黑體" w:hAnsi="微軟正黑體" w:hint="eastAsia"/>
          <w:sz w:val="28"/>
          <w:szCs w:val="28"/>
        </w:rPr>
        <w:t>全球新興市場投資等級債（全1.53%，台1.</w:t>
      </w:r>
      <w:r w:rsidR="00020AFC">
        <w:rPr>
          <w:rFonts w:ascii="微軟正黑體" w:eastAsia="微軟正黑體" w:hAnsi="微軟正黑體" w:hint="eastAsia"/>
          <w:sz w:val="28"/>
          <w:szCs w:val="28"/>
        </w:rPr>
        <w:t>2</w:t>
      </w:r>
      <w:r w:rsidR="001F5897">
        <w:rPr>
          <w:rFonts w:ascii="微軟正黑體" w:eastAsia="微軟正黑體" w:hAnsi="微軟正黑體" w:hint="eastAsia"/>
          <w:sz w:val="28"/>
          <w:szCs w:val="28"/>
        </w:rPr>
        <w:t>5%）</w:t>
      </w:r>
      <w:r w:rsidR="001F5897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1F5897">
        <w:rPr>
          <w:rFonts w:ascii="微軟正黑體" w:eastAsia="微軟正黑體" w:hAnsi="微軟正黑體" w:hint="eastAsia"/>
          <w:sz w:val="28"/>
          <w:szCs w:val="28"/>
        </w:rPr>
        <w:t>亞洲新興市場投資等級債（全2.87%，台2.79%）</w:t>
      </w:r>
      <w:r w:rsidR="001F5897"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 w:rsidR="001F5897">
        <w:rPr>
          <w:rFonts w:ascii="微軟正黑體" w:eastAsia="微軟正黑體" w:hAnsi="微軟正黑體" w:hint="eastAsia"/>
          <w:sz w:val="28"/>
          <w:szCs w:val="28"/>
        </w:rPr>
        <w:t>目標到期投資等級債（全1.42%，台1.35%）</w:t>
      </w:r>
      <w:r w:rsidR="001F5897"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 w:rsidR="001F5897">
        <w:rPr>
          <w:rFonts w:ascii="微軟正黑體" w:eastAsia="微軟正黑體" w:hAnsi="微軟正黑體" w:hint="eastAsia"/>
          <w:sz w:val="28"/>
          <w:szCs w:val="28"/>
        </w:rPr>
        <w:t>一般債券型E</w:t>
      </w:r>
      <w:r w:rsidR="001F5897">
        <w:rPr>
          <w:rFonts w:ascii="微軟正黑體" w:eastAsia="微軟正黑體" w:hAnsi="微軟正黑體"/>
          <w:sz w:val="28"/>
          <w:szCs w:val="28"/>
        </w:rPr>
        <w:t>TF</w:t>
      </w:r>
      <w:r w:rsidR="001F5897">
        <w:rPr>
          <w:rFonts w:ascii="微軟正黑體" w:eastAsia="微軟正黑體" w:hAnsi="微軟正黑體" w:hint="eastAsia"/>
          <w:sz w:val="28"/>
          <w:szCs w:val="28"/>
        </w:rPr>
        <w:t>年初迄今報酬率達5.27%，是獲利最高的子類</w:t>
      </w:r>
      <w:r w:rsidR="001F5897"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 w:rsidR="001F5897">
        <w:rPr>
          <w:rFonts w:ascii="微軟正黑體" w:eastAsia="微軟正黑體" w:hAnsi="微軟正黑體" w:hint="eastAsia"/>
          <w:sz w:val="28"/>
          <w:szCs w:val="28"/>
        </w:rPr>
        <w:t>非投資等級債表現較差，報酬率多在正負1%之內</w:t>
      </w:r>
      <w:r w:rsidR="001F5897" w:rsidRPr="00EA1B12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6A165370" w14:textId="66B179AD" w:rsidR="00F35930" w:rsidRDefault="001F5897" w:rsidP="001F5897">
      <w:pPr>
        <w:spacing w:beforeLines="50" w:before="180" w:afterLines="50" w:after="180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平衡及多重資產型基金四月投資國外表現優於投資國內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>
        <w:rPr>
          <w:rFonts w:ascii="微軟正黑體" w:eastAsia="微軟正黑體" w:hAnsi="微軟正黑體" w:hint="eastAsia"/>
          <w:sz w:val="28"/>
          <w:szCs w:val="28"/>
        </w:rPr>
        <w:t>受台股</w:t>
      </w:r>
      <w:r>
        <w:rPr>
          <w:rFonts w:ascii="微軟正黑體" w:eastAsia="微軟正黑體" w:hAnsi="微軟正黑體" w:hint="eastAsia"/>
          <w:sz w:val="28"/>
          <w:szCs w:val="28"/>
        </w:rPr>
        <w:lastRenderedPageBreak/>
        <w:t>下跌影響，投資國內股票債券平衡型基金平均報酬率-1.42%，而全球平衡型（全1.73%，台2.01%）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>
        <w:rPr>
          <w:rFonts w:ascii="微軟正黑體" w:eastAsia="微軟正黑體" w:hAnsi="微軟正黑體" w:hint="eastAsia"/>
          <w:sz w:val="28"/>
          <w:szCs w:val="28"/>
        </w:rPr>
        <w:t>新興市場平衡型（1.55%）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>
        <w:rPr>
          <w:rFonts w:ascii="微軟正黑體" w:eastAsia="微軟正黑體" w:hAnsi="微軟正黑體" w:hint="eastAsia"/>
          <w:sz w:val="28"/>
          <w:szCs w:val="28"/>
        </w:rPr>
        <w:t>單一國家平衡型（1.90%）皆為正報酬，唯中國大陸平衡型（全-1.26%，台-1.04%）為負報酬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。</w:t>
      </w:r>
      <w:r>
        <w:rPr>
          <w:rFonts w:ascii="微軟正黑體" w:eastAsia="微軟正黑體" w:hAnsi="微軟正黑體" w:hint="eastAsia"/>
          <w:sz w:val="28"/>
          <w:szCs w:val="28"/>
        </w:rPr>
        <w:t>若看年初至四月底，則投資國內平衡型（9.64%）大幅優於全球平衡型（全4.89%，台4.69%）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>
        <w:rPr>
          <w:rFonts w:ascii="微軟正黑體" w:eastAsia="微軟正黑體" w:hAnsi="微軟正黑體" w:hint="eastAsia"/>
          <w:sz w:val="28"/>
          <w:szCs w:val="28"/>
        </w:rPr>
        <w:t>亞洲平衡型（全4.56%，台3.72%）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、</w:t>
      </w:r>
      <w:r>
        <w:rPr>
          <w:rFonts w:ascii="微軟正黑體" w:eastAsia="微軟正黑體" w:hAnsi="微軟正黑體" w:hint="eastAsia"/>
          <w:sz w:val="28"/>
          <w:szCs w:val="28"/>
        </w:rPr>
        <w:t>多重資產型（全</w:t>
      </w:r>
      <w:r w:rsidR="00DC447E">
        <w:rPr>
          <w:rFonts w:ascii="微軟正黑體" w:eastAsia="微軟正黑體" w:hAnsi="微軟正黑體" w:hint="eastAsia"/>
          <w:sz w:val="28"/>
          <w:szCs w:val="28"/>
        </w:rPr>
        <w:t>4</w:t>
      </w:r>
      <w:r>
        <w:rPr>
          <w:rFonts w:ascii="微軟正黑體" w:eastAsia="微軟正黑體" w:hAnsi="微軟正黑體" w:hint="eastAsia"/>
          <w:sz w:val="28"/>
          <w:szCs w:val="28"/>
        </w:rPr>
        <w:t>.</w:t>
      </w:r>
      <w:r w:rsidR="00DC447E">
        <w:rPr>
          <w:rFonts w:ascii="微軟正黑體" w:eastAsia="微軟正黑體" w:hAnsi="微軟正黑體" w:hint="eastAsia"/>
          <w:sz w:val="28"/>
          <w:szCs w:val="28"/>
        </w:rPr>
        <w:t>0</w:t>
      </w:r>
      <w:r>
        <w:rPr>
          <w:rFonts w:ascii="微軟正黑體" w:eastAsia="微軟正黑體" w:hAnsi="微軟正黑體" w:hint="eastAsia"/>
          <w:sz w:val="28"/>
          <w:szCs w:val="28"/>
        </w:rPr>
        <w:t>5%</w:t>
      </w:r>
      <w:bookmarkStart w:id="0" w:name="_GoBack"/>
      <w:bookmarkEnd w:id="0"/>
      <w:r>
        <w:rPr>
          <w:rFonts w:ascii="微軟正黑體" w:eastAsia="微軟正黑體" w:hAnsi="微軟正黑體" w:hint="eastAsia"/>
          <w:sz w:val="28"/>
          <w:szCs w:val="28"/>
        </w:rPr>
        <w:t>，台3.</w:t>
      </w:r>
      <w:r w:rsidR="00DC447E">
        <w:rPr>
          <w:rFonts w:ascii="微軟正黑體" w:eastAsia="微軟正黑體" w:hAnsi="微軟正黑體" w:hint="eastAsia"/>
          <w:sz w:val="28"/>
          <w:szCs w:val="28"/>
        </w:rPr>
        <w:t>75</w:t>
      </w:r>
      <w:r>
        <w:rPr>
          <w:rFonts w:ascii="微軟正黑體" w:eastAsia="微軟正黑體" w:hAnsi="微軟正黑體" w:hint="eastAsia"/>
          <w:sz w:val="28"/>
          <w:szCs w:val="28"/>
        </w:rPr>
        <w:t>%）</w:t>
      </w:r>
      <w:r w:rsidRPr="00EA1B12">
        <w:rPr>
          <w:rFonts w:ascii="微軟正黑體" w:eastAsia="微軟正黑體" w:hAnsi="微軟正黑體" w:hint="eastAsia"/>
          <w:sz w:val="28"/>
          <w:szCs w:val="28"/>
        </w:rPr>
        <w:t>。</w:t>
      </w:r>
    </w:p>
    <w:sectPr w:rsidR="00F3593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258BF" w14:textId="77777777" w:rsidR="00E97B28" w:rsidRDefault="00E97B28" w:rsidP="001F48D9">
      <w:r>
        <w:separator/>
      </w:r>
    </w:p>
  </w:endnote>
  <w:endnote w:type="continuationSeparator" w:id="0">
    <w:p w14:paraId="5BDE339F" w14:textId="77777777" w:rsidR="00E97B28" w:rsidRDefault="00E97B28" w:rsidP="001F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3245893"/>
      <w:docPartObj>
        <w:docPartGallery w:val="Page Numbers (Bottom of Page)"/>
        <w:docPartUnique/>
      </w:docPartObj>
    </w:sdtPr>
    <w:sdtEndPr/>
    <w:sdtContent>
      <w:p w14:paraId="344F9298" w14:textId="00DB9FE5" w:rsidR="001F48D9" w:rsidRDefault="001F48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978" w:rsidRPr="00436978">
          <w:rPr>
            <w:noProof/>
            <w:lang w:val="zh-TW"/>
          </w:rPr>
          <w:t>1</w:t>
        </w:r>
        <w:r>
          <w:fldChar w:fldCharType="end"/>
        </w:r>
      </w:p>
    </w:sdtContent>
  </w:sdt>
  <w:p w14:paraId="6BB7A9B5" w14:textId="77777777" w:rsidR="001F48D9" w:rsidRDefault="001F48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6B9C8" w14:textId="77777777" w:rsidR="00E97B28" w:rsidRDefault="00E97B28" w:rsidP="001F48D9">
      <w:r>
        <w:separator/>
      </w:r>
    </w:p>
  </w:footnote>
  <w:footnote w:type="continuationSeparator" w:id="0">
    <w:p w14:paraId="39CA0DAD" w14:textId="77777777" w:rsidR="00E97B28" w:rsidRDefault="00E97B28" w:rsidP="001F4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90F"/>
    <w:rsid w:val="0000261C"/>
    <w:rsid w:val="000170D5"/>
    <w:rsid w:val="00020AFC"/>
    <w:rsid w:val="000223D6"/>
    <w:rsid w:val="000334A8"/>
    <w:rsid w:val="00047338"/>
    <w:rsid w:val="00047C66"/>
    <w:rsid w:val="00075D5D"/>
    <w:rsid w:val="00080F13"/>
    <w:rsid w:val="000A5F9D"/>
    <w:rsid w:val="000B100A"/>
    <w:rsid w:val="000C0889"/>
    <w:rsid w:val="000E07CB"/>
    <w:rsid w:val="000F4753"/>
    <w:rsid w:val="0013140A"/>
    <w:rsid w:val="0017005A"/>
    <w:rsid w:val="00190825"/>
    <w:rsid w:val="001B5788"/>
    <w:rsid w:val="001E4827"/>
    <w:rsid w:val="001F48D9"/>
    <w:rsid w:val="001F5897"/>
    <w:rsid w:val="001F6F03"/>
    <w:rsid w:val="0021693B"/>
    <w:rsid w:val="0021741B"/>
    <w:rsid w:val="002220BF"/>
    <w:rsid w:val="00261B1D"/>
    <w:rsid w:val="00266E7B"/>
    <w:rsid w:val="002752A2"/>
    <w:rsid w:val="002B04E7"/>
    <w:rsid w:val="002E6173"/>
    <w:rsid w:val="002F27AF"/>
    <w:rsid w:val="00307C9D"/>
    <w:rsid w:val="00331AA2"/>
    <w:rsid w:val="003357FD"/>
    <w:rsid w:val="00373A3D"/>
    <w:rsid w:val="003A13F3"/>
    <w:rsid w:val="003A2D0B"/>
    <w:rsid w:val="003B2314"/>
    <w:rsid w:val="00401A0F"/>
    <w:rsid w:val="00434701"/>
    <w:rsid w:val="00436978"/>
    <w:rsid w:val="00481FB0"/>
    <w:rsid w:val="00491C31"/>
    <w:rsid w:val="004A2003"/>
    <w:rsid w:val="004B1341"/>
    <w:rsid w:val="004B162D"/>
    <w:rsid w:val="004E6BA8"/>
    <w:rsid w:val="004E78C5"/>
    <w:rsid w:val="004F0B1F"/>
    <w:rsid w:val="005231E0"/>
    <w:rsid w:val="00546E3D"/>
    <w:rsid w:val="005552DB"/>
    <w:rsid w:val="005C1AA7"/>
    <w:rsid w:val="0060168B"/>
    <w:rsid w:val="006159B2"/>
    <w:rsid w:val="00621DCB"/>
    <w:rsid w:val="006324B9"/>
    <w:rsid w:val="006404AC"/>
    <w:rsid w:val="00651AF6"/>
    <w:rsid w:val="006C0491"/>
    <w:rsid w:val="006D7128"/>
    <w:rsid w:val="006D766B"/>
    <w:rsid w:val="006D7788"/>
    <w:rsid w:val="006F29A6"/>
    <w:rsid w:val="006F5009"/>
    <w:rsid w:val="00701796"/>
    <w:rsid w:val="00705349"/>
    <w:rsid w:val="0070738F"/>
    <w:rsid w:val="00707A1D"/>
    <w:rsid w:val="00753501"/>
    <w:rsid w:val="00760401"/>
    <w:rsid w:val="00771351"/>
    <w:rsid w:val="00777A28"/>
    <w:rsid w:val="007A0A60"/>
    <w:rsid w:val="007B2E40"/>
    <w:rsid w:val="007B43FA"/>
    <w:rsid w:val="007C5AD5"/>
    <w:rsid w:val="007D028E"/>
    <w:rsid w:val="007D4A0B"/>
    <w:rsid w:val="007E1E2E"/>
    <w:rsid w:val="00805E9A"/>
    <w:rsid w:val="00845DCF"/>
    <w:rsid w:val="008477C3"/>
    <w:rsid w:val="00865897"/>
    <w:rsid w:val="00871F74"/>
    <w:rsid w:val="008946D3"/>
    <w:rsid w:val="00930CB5"/>
    <w:rsid w:val="00936607"/>
    <w:rsid w:val="00975993"/>
    <w:rsid w:val="00984550"/>
    <w:rsid w:val="0098691D"/>
    <w:rsid w:val="009D6903"/>
    <w:rsid w:val="009E56E7"/>
    <w:rsid w:val="009F1B62"/>
    <w:rsid w:val="00A04DFF"/>
    <w:rsid w:val="00A1589E"/>
    <w:rsid w:val="00A33D1C"/>
    <w:rsid w:val="00A53BF3"/>
    <w:rsid w:val="00A5636C"/>
    <w:rsid w:val="00A6512B"/>
    <w:rsid w:val="00A81D42"/>
    <w:rsid w:val="00A9324F"/>
    <w:rsid w:val="00A95F7A"/>
    <w:rsid w:val="00AC7F0A"/>
    <w:rsid w:val="00AD648C"/>
    <w:rsid w:val="00B01C0E"/>
    <w:rsid w:val="00B03363"/>
    <w:rsid w:val="00B372E4"/>
    <w:rsid w:val="00B4559B"/>
    <w:rsid w:val="00B6323C"/>
    <w:rsid w:val="00B66F77"/>
    <w:rsid w:val="00BB1179"/>
    <w:rsid w:val="00BB1839"/>
    <w:rsid w:val="00BD098E"/>
    <w:rsid w:val="00BD11E2"/>
    <w:rsid w:val="00BE5F52"/>
    <w:rsid w:val="00BF1343"/>
    <w:rsid w:val="00BF2678"/>
    <w:rsid w:val="00C00F9C"/>
    <w:rsid w:val="00C527E1"/>
    <w:rsid w:val="00C62771"/>
    <w:rsid w:val="00C71C9A"/>
    <w:rsid w:val="00C779F4"/>
    <w:rsid w:val="00C87BC3"/>
    <w:rsid w:val="00CA1858"/>
    <w:rsid w:val="00CA2997"/>
    <w:rsid w:val="00CB0375"/>
    <w:rsid w:val="00CB66D6"/>
    <w:rsid w:val="00CC151D"/>
    <w:rsid w:val="00CC32EF"/>
    <w:rsid w:val="00CC55CB"/>
    <w:rsid w:val="00CD2F9F"/>
    <w:rsid w:val="00CE167B"/>
    <w:rsid w:val="00D3586C"/>
    <w:rsid w:val="00D40967"/>
    <w:rsid w:val="00D6390F"/>
    <w:rsid w:val="00D84C08"/>
    <w:rsid w:val="00D924C1"/>
    <w:rsid w:val="00D93DB3"/>
    <w:rsid w:val="00D93EF1"/>
    <w:rsid w:val="00D944BE"/>
    <w:rsid w:val="00DA3D2A"/>
    <w:rsid w:val="00DB20E7"/>
    <w:rsid w:val="00DB7B63"/>
    <w:rsid w:val="00DC447E"/>
    <w:rsid w:val="00DD121B"/>
    <w:rsid w:val="00DD4BD2"/>
    <w:rsid w:val="00DF7888"/>
    <w:rsid w:val="00E30CAE"/>
    <w:rsid w:val="00E316AE"/>
    <w:rsid w:val="00E323EC"/>
    <w:rsid w:val="00E97B28"/>
    <w:rsid w:val="00EA1B12"/>
    <w:rsid w:val="00EC5EFB"/>
    <w:rsid w:val="00EF26AA"/>
    <w:rsid w:val="00F26415"/>
    <w:rsid w:val="00F35930"/>
    <w:rsid w:val="00F50D98"/>
    <w:rsid w:val="00F950FF"/>
    <w:rsid w:val="00FA1BBA"/>
    <w:rsid w:val="00FD7967"/>
    <w:rsid w:val="00FE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DBA2C"/>
  <w15:chartTrackingRefBased/>
  <w15:docId w15:val="{08F81483-40BE-4175-B489-8122F166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48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4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48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</Words>
  <Characters>1653</Characters>
  <Application>Microsoft Office Word</Application>
  <DocSecurity>0</DocSecurity>
  <Lines>13</Lines>
  <Paragraphs>3</Paragraphs>
  <ScaleCrop>false</ScaleCrop>
  <Company>Toshiba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</dc:creator>
  <cp:keywords/>
  <dc:description/>
  <cp:lastModifiedBy>邱顯比</cp:lastModifiedBy>
  <cp:revision>2</cp:revision>
  <cp:lastPrinted>2023-03-06T02:34:00Z</cp:lastPrinted>
  <dcterms:created xsi:type="dcterms:W3CDTF">2023-05-11T03:10:00Z</dcterms:created>
  <dcterms:modified xsi:type="dcterms:W3CDTF">2023-05-11T03:10:00Z</dcterms:modified>
</cp:coreProperties>
</file>