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09A" w:rsidRPr="001B6CDE" w:rsidRDefault="00362DA0" w:rsidP="005654C8">
      <w:pPr>
        <w:spacing w:afterLines="50" w:after="180"/>
        <w:contextualSpacing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B6CD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台股第三季先盛後衰，台股基金</w:t>
      </w:r>
      <w:proofErr w:type="gramStart"/>
      <w:r w:rsidRPr="001B6CD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勉</w:t>
      </w:r>
      <w:proofErr w:type="gramEnd"/>
      <w:r w:rsidRPr="001B6CD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力收紅</w:t>
      </w:r>
    </w:p>
    <w:p w:rsidR="00077948" w:rsidRPr="001B6CDE" w:rsidRDefault="00077948" w:rsidP="006B7774">
      <w:pPr>
        <w:spacing w:beforeLines="50" w:before="180" w:afterLines="100" w:after="36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1B6CD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李存修  邱顯比</w:t>
      </w:r>
    </w:p>
    <w:p w:rsidR="00077948" w:rsidRPr="001B6CDE" w:rsidRDefault="005654C8" w:rsidP="005654C8">
      <w:pPr>
        <w:spacing w:beforeLines="50" w:before="180" w:afterLines="50" w:after="180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九月的聯</w:t>
      </w:r>
      <w:proofErr w:type="gramStart"/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會會議雖未升息，但鮑爾主席以及幾位區域聯邦準備銀行總裁之談話</w:t>
      </w:r>
      <w:proofErr w:type="gramStart"/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均鴿中帶鷹</w:t>
      </w:r>
      <w:proofErr w:type="gramEnd"/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，讓市場預期年底前還有一碼的升息可能性，而且原本預期明年會有四碼的</w:t>
      </w:r>
      <w:proofErr w:type="gramStart"/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proofErr w:type="gramEnd"/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降息空間，也縮減到二碼，意味著高利率持續的時間會比原來長，使得十年期公債</w:t>
      </w:r>
      <w:proofErr w:type="gramStart"/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殖</w:t>
      </w:r>
      <w:proofErr w:type="gramEnd"/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利率一度</w:t>
      </w:r>
      <w:proofErr w:type="gramStart"/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衝</w:t>
      </w:r>
      <w:proofErr w:type="gramEnd"/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高到接近4.8%，對股市尤其是科技股帶來不小的殺傷力。</w:t>
      </w:r>
    </w:p>
    <w:p w:rsidR="005654C8" w:rsidRPr="001B6CDE" w:rsidRDefault="00EE2AB0" w:rsidP="005654C8">
      <w:pPr>
        <w:spacing w:beforeLines="50" w:before="180" w:afterLines="50" w:after="180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第三季美國道瓊指數-2.62%(九月單月-3.5%，以下同)、S&amp;P 500指數-3.65%(-4.87%)、NASDAQ指數-4.12%(-5.81%)、MSCI歐洲指數-6.49%(-5.45%)、MSCI含息世界指數-2.68%(-4.1%)。台股跌幅</w:t>
      </w:r>
      <w:r w:rsidR="00362DA0"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較</w:t>
      </w:r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輕，第三季(九月單月)之加權股價報酬指數-1.67%(-1.48%)、OTC報酬指數-2.8%(+0.04%)、電子報酬指數-0.88%(-2.36%)。</w:t>
      </w:r>
    </w:p>
    <w:p w:rsidR="007E1B9C" w:rsidRPr="001B6CDE" w:rsidRDefault="007E1B9C" w:rsidP="005654C8">
      <w:pPr>
        <w:spacing w:beforeLines="50" w:before="180" w:afterLines="50" w:after="180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就台股基金來看，第三季雖是先盛後衰，但232</w:t>
      </w:r>
      <w:proofErr w:type="gramStart"/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檔受評</w:t>
      </w:r>
      <w:proofErr w:type="gramEnd"/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基金仍有172檔(</w:t>
      </w:r>
      <w:proofErr w:type="gramStart"/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佔</w:t>
      </w:r>
      <w:proofErr w:type="gramEnd"/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比74.14%)創造了正報酬，整體季報酬達4.32%，192檔(</w:t>
      </w:r>
      <w:proofErr w:type="gramStart"/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佔</w:t>
      </w:r>
      <w:proofErr w:type="gramEnd"/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比82.76%)擊敗含息的加權指數，績效可謂亮麗，尤以價值型3檔平均季報酬9.98%最出色，其次為中小型的6.55%以及中</w:t>
      </w:r>
      <w:proofErr w:type="gramStart"/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概</w:t>
      </w:r>
      <w:r w:rsidR="00EC1189"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股</w:t>
      </w:r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型的</w:t>
      </w:r>
      <w:proofErr w:type="gramEnd"/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6.01%。統一中小基金以21.21%勇奪第三季冠軍。</w:t>
      </w:r>
    </w:p>
    <w:p w:rsidR="007E1B9C" w:rsidRPr="001B6CDE" w:rsidRDefault="00206B30" w:rsidP="005654C8">
      <w:pPr>
        <w:spacing w:beforeLines="50" w:before="180" w:afterLines="50" w:after="180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跨國投資股票基金(78</w:t>
      </w:r>
      <w:r w:rsidR="00CB430D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檔)相較之下略遜一籌，平均季報酬     </w:t>
      </w:r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-3.44%，表現最佳的群益印度中小-台幣季報酬達13.56%。若不計ETF，九檔全球資源型基金</w:t>
      </w:r>
      <w:proofErr w:type="gramStart"/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平均季賺</w:t>
      </w:r>
      <w:proofErr w:type="gramEnd"/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2.56%(全部幣別，以下同)，顯然受惠於油價的上漲，而印度股市的強勢，造就了其他單一國家型單季平均5.74%的好表現。其他各類型平均季</w:t>
      </w:r>
      <w:proofErr w:type="gramStart"/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報酬均為負</w:t>
      </w:r>
      <w:proofErr w:type="gramEnd"/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，尤以大中華區-6.02%最為掉漆，大概受到中國大陸地產公司危機的影響。</w:t>
      </w:r>
    </w:p>
    <w:p w:rsidR="00206B30" w:rsidRPr="001B6CDE" w:rsidRDefault="00EF5A3A" w:rsidP="005654C8">
      <w:pPr>
        <w:spacing w:beforeLines="50" w:before="180" w:afterLines="50" w:after="180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平衡型基金除投資國內者</w:t>
      </w:r>
      <w:proofErr w:type="gramStart"/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平均季漲</w:t>
      </w:r>
      <w:proofErr w:type="gramEnd"/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2.31%以及新興市場</w:t>
      </w:r>
      <w:proofErr w:type="gramStart"/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平衡型略有</w:t>
      </w:r>
      <w:proofErr w:type="gramEnd"/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0.23%的季獲利外，其餘各類平衡型基金及多重資產型基金平均季</w:t>
      </w:r>
      <w:proofErr w:type="gramStart"/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報酬均為負</w:t>
      </w:r>
      <w:proofErr w:type="gramEnd"/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F5A3A" w:rsidRPr="001B6CDE" w:rsidRDefault="00EF5A3A" w:rsidP="005654C8">
      <w:pPr>
        <w:spacing w:beforeLines="50" w:before="180" w:afterLines="50" w:after="180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投資等級債券型基金以短期型基金0.05%季報酬以及</w:t>
      </w:r>
      <w:r w:rsidR="001B6CDE"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目標到</w:t>
      </w:r>
      <w:r w:rsidR="00CD03A4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1B6CDE"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型0.98</w:t>
      </w:r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%外，其餘各類投資等級債之季</w:t>
      </w:r>
      <w:proofErr w:type="gramStart"/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績效均為負</w:t>
      </w:r>
      <w:proofErr w:type="gramEnd"/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值。非投資等級債以全球型的0.29%</w:t>
      </w:r>
      <w:proofErr w:type="gramStart"/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勉</w:t>
      </w:r>
      <w:proofErr w:type="gramEnd"/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力維持正數，其他各類型非投資等級債</w:t>
      </w:r>
      <w:r w:rsidR="00997D2C"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也</w:t>
      </w:r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全軍下跌，尤其中國大陸20</w:t>
      </w:r>
      <w:proofErr w:type="gramStart"/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檔非投資級債</w:t>
      </w:r>
      <w:proofErr w:type="gramEnd"/>
      <w:r w:rsidR="00997D2C"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平均</w:t>
      </w:r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下挫6.87%最為弱勢。</w:t>
      </w:r>
    </w:p>
    <w:p w:rsidR="00EF5A3A" w:rsidRPr="001B6CDE" w:rsidRDefault="00EF5A3A" w:rsidP="005654C8">
      <w:pPr>
        <w:spacing w:beforeLines="50" w:before="180" w:afterLines="50" w:after="180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股、債表現不佳時，</w:t>
      </w:r>
      <w:r w:rsidR="00405A7E"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海外</w:t>
      </w:r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貨幣市場型基金的1.85%季報酬就顯得特別亮眼。組合型除了國內組合2.38%以及非投資等級債組合0.07%外，其餘各類組合之季報酬</w:t>
      </w:r>
      <w:proofErr w:type="gramStart"/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也均為負</w:t>
      </w:r>
      <w:proofErr w:type="gramEnd"/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，連5</w:t>
      </w:r>
      <w:proofErr w:type="gramStart"/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檔保本</w:t>
      </w:r>
      <w:proofErr w:type="gramEnd"/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型</w:t>
      </w:r>
      <w:proofErr w:type="gramStart"/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平均季賠</w:t>
      </w:r>
      <w:proofErr w:type="gramEnd"/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0.53%也都無法保本了。73檔不動產證券化型基金平均季跌-4.21%，無一有正報酬。</w:t>
      </w:r>
    </w:p>
    <w:p w:rsidR="00EF5A3A" w:rsidRPr="001B6CDE" w:rsidRDefault="00EF5A3A" w:rsidP="005654C8">
      <w:pPr>
        <w:spacing w:beforeLines="50" w:before="180" w:afterLines="50" w:after="180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即便第三季績效</w:t>
      </w:r>
      <w:proofErr w:type="gramStart"/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怎麼好看，上半年的大豐收仍足以吸收第三季</w:t>
      </w:r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的虧損。</w:t>
      </w:r>
      <w:r w:rsidR="00177488"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年初迄今美國道瓊、S&amp;P 500、NASDAQ分別漲了1.09%、11.68%及26.3%；台股在外資的大提款下，加權股價報酬指數、OTC報酬指數、電子報酬指數</w:t>
      </w:r>
      <w:r w:rsidR="00997D2C"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仍</w:t>
      </w:r>
      <w:r w:rsidR="00177488"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分別上漲了19.73%</w:t>
      </w:r>
      <w:r w:rsidR="00695E34"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177488"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21.8%及2</w:t>
      </w:r>
      <w:r w:rsidR="006D49BC"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177488"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.03%，僅有日經225指數之累計報酬22.09%與台股相近，含息的MSCI世界指數累計</w:t>
      </w:r>
      <w:r w:rsidR="00997D2C"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漲</w:t>
      </w:r>
      <w:r w:rsidR="00177488"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10.4</w:t>
      </w:r>
      <w:r w:rsidR="00C04D3C"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177488"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%。</w:t>
      </w:r>
    </w:p>
    <w:p w:rsidR="00177488" w:rsidRPr="001B6CDE" w:rsidRDefault="00177488" w:rsidP="005654C8">
      <w:pPr>
        <w:spacing w:beforeLines="50" w:before="180" w:afterLines="50" w:after="180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台股基金</w:t>
      </w:r>
      <w:r w:rsidR="005E4340"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勇冠三軍，前三季平均獲利36.25%，日盛新台商、日盛MIT主流、日盛上選-N類型累計獲利95.65%、87.62%及</w:t>
      </w:r>
      <w:r w:rsidR="0087429C"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84.95</w:t>
      </w:r>
      <w:r w:rsidR="005E4340"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%，囊括前三名。最強類型為中</w:t>
      </w:r>
      <w:proofErr w:type="gramStart"/>
      <w:r w:rsidR="005E4340"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概</w:t>
      </w:r>
      <w:r w:rsidR="008F76F3"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股</w:t>
      </w:r>
      <w:r w:rsidR="005E4340"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型</w:t>
      </w:r>
      <w:proofErr w:type="gramEnd"/>
      <w:r w:rsidR="005E4340"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，前三季累計獲利50.57%，其餘依序為科技類的44.54%、價值型的44.32%</w:t>
      </w:r>
      <w:r w:rsidR="00CB3E9B"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、中小型的42.10%、一般型的39.79%以及上櫃</w:t>
      </w:r>
      <w:r w:rsidR="008F76F3"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股票</w:t>
      </w:r>
      <w:r w:rsidR="00CB3E9B"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型的21%。</w:t>
      </w:r>
    </w:p>
    <w:p w:rsidR="00EE5A67" w:rsidRPr="001B6CDE" w:rsidRDefault="00EE5A67" w:rsidP="00EE5A67">
      <w:pPr>
        <w:spacing w:beforeLines="50" w:before="180" w:afterLines="50" w:after="180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年初迄今跨國投資股票型基金差強人意，76</w:t>
      </w:r>
      <w:r w:rsidR="00CB430D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檔之平均報酬率4.8</w:t>
      </w:r>
      <w:r w:rsidR="00CB430D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%，但累計報酬率呈現高低兩樣情，高者如美國股票基金，累計報酬21.61%以及其他單一國家型的17.86%(全部幣別，以下同)低者多半與大中華區域有關，如中國</w:t>
      </w:r>
      <w:r w:rsidR="005F226A"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大陸</w:t>
      </w:r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A股基金的-8.49%、大中華區域型的-9.11%，其他如歐洲區域型12.64%、日本10.24%。也都有二位數的佳績。年度的領先者為統一</w:t>
      </w:r>
      <w:r w:rsidR="006B5F23"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NYSE </w:t>
      </w:r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FANG+ ETF 72.14%及富邦未來車</w:t>
      </w:r>
      <w:r w:rsidR="006B5F23"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ETF </w:t>
      </w:r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64.37%</w:t>
      </w:r>
      <w:r w:rsidR="00997D2C"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，只是績效絕大部分來自上半年，第三季並未能趁勝</w:t>
      </w:r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追擊。</w:t>
      </w:r>
    </w:p>
    <w:p w:rsidR="00EE5A67" w:rsidRPr="001B6CDE" w:rsidRDefault="00EE5A67" w:rsidP="00EE5A67">
      <w:pPr>
        <w:spacing w:beforeLines="50" w:before="180" w:afterLines="50" w:after="180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國內</w:t>
      </w:r>
      <w:r w:rsidR="00344B0A"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平衡型基金前三季平均累計報酬高達24.42%，大幅超越各類型跨國平衡型基金及多重資產基金，其累計報酬大致都是個位數，只有投資中國大陸者平均累計報酬率為-3.76%。</w:t>
      </w:r>
    </w:p>
    <w:p w:rsidR="00344B0A" w:rsidRPr="001B6CDE" w:rsidRDefault="00344B0A" w:rsidP="00EE5A67">
      <w:pPr>
        <w:spacing w:beforeLines="50" w:before="180" w:afterLines="50" w:after="180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投資等</w:t>
      </w:r>
      <w:r w:rsidR="00997D2C"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級債</w:t>
      </w:r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報酬率年初迄今</w:t>
      </w:r>
      <w:r w:rsidR="00F64944"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只能用乏善可陳來形容，表現最好的是目標到</w:t>
      </w:r>
      <w:r w:rsidR="00CD03A4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997D2C"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型</w:t>
      </w:r>
      <w:r w:rsidR="00F64944"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，平均累計報酬3.36%，其次為短期型的1.</w:t>
      </w:r>
      <w:r w:rsidR="009C264A"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50</w:t>
      </w:r>
      <w:r w:rsidR="00F64944"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%與全球新興市場的1.32%，其餘各類型均不及1%。非投資等級債也是優劣參半，全球型平均累計報酬3.80%、亞洲區域型-3.81%與中國大陸-9.60%。</w:t>
      </w:r>
    </w:p>
    <w:p w:rsidR="00F64944" w:rsidRPr="001B6CDE" w:rsidRDefault="001E1105" w:rsidP="00EE5A67">
      <w:pPr>
        <w:spacing w:beforeLines="50" w:before="180" w:afterLines="50" w:after="180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組合型基金方面國內組合平均累計報酬24.63%，跨國組合以</w:t>
      </w:r>
      <w:r w:rsidR="001B6CDE"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一般股票型11.99%</w:t>
      </w:r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最佳，其次為</w:t>
      </w:r>
      <w:r w:rsidR="001B6CDE"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其他組合型11.96%、</w:t>
      </w:r>
      <w:r w:rsidRPr="001B6CDE">
        <w:rPr>
          <w:rFonts w:ascii="標楷體" w:eastAsia="標楷體" w:hAnsi="標楷體" w:hint="eastAsia"/>
          <w:color w:val="000000" w:themeColor="text1"/>
          <w:sz w:val="28"/>
          <w:szCs w:val="28"/>
        </w:rPr>
        <w:t>目標日期型6.04%、平衡組合型4.64%、新興市場股票組合2.89%。不動產證券化型基金年初迄九月底仍處於虧損狀態，平均-3.68%。</w:t>
      </w:r>
    </w:p>
    <w:sectPr w:rsidR="00F64944" w:rsidRPr="001B6CD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618" w:rsidRDefault="002F7618" w:rsidP="00077948">
      <w:r>
        <w:separator/>
      </w:r>
    </w:p>
  </w:endnote>
  <w:endnote w:type="continuationSeparator" w:id="0">
    <w:p w:rsidR="002F7618" w:rsidRDefault="002F7618" w:rsidP="0007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3748117"/>
      <w:docPartObj>
        <w:docPartGallery w:val="Page Numbers (Bottom of Page)"/>
        <w:docPartUnique/>
      </w:docPartObj>
    </w:sdtPr>
    <w:sdtEndPr/>
    <w:sdtContent>
      <w:p w:rsidR="00077948" w:rsidRDefault="000779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30D" w:rsidRPr="00CB430D">
          <w:rPr>
            <w:noProof/>
            <w:lang w:val="zh-TW"/>
          </w:rPr>
          <w:t>1</w:t>
        </w:r>
        <w:r>
          <w:fldChar w:fldCharType="end"/>
        </w:r>
      </w:p>
    </w:sdtContent>
  </w:sdt>
  <w:p w:rsidR="00077948" w:rsidRDefault="000779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618" w:rsidRDefault="002F7618" w:rsidP="00077948">
      <w:r>
        <w:separator/>
      </w:r>
    </w:p>
  </w:footnote>
  <w:footnote w:type="continuationSeparator" w:id="0">
    <w:p w:rsidR="002F7618" w:rsidRDefault="002F7618" w:rsidP="00077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8"/>
    <w:rsid w:val="00077948"/>
    <w:rsid w:val="00177488"/>
    <w:rsid w:val="001B6CDE"/>
    <w:rsid w:val="001E1105"/>
    <w:rsid w:val="00206B30"/>
    <w:rsid w:val="002E3074"/>
    <w:rsid w:val="002F7618"/>
    <w:rsid w:val="00344B0A"/>
    <w:rsid w:val="00362DA0"/>
    <w:rsid w:val="003759E5"/>
    <w:rsid w:val="003C5A61"/>
    <w:rsid w:val="003E01E3"/>
    <w:rsid w:val="00405A7E"/>
    <w:rsid w:val="005654C8"/>
    <w:rsid w:val="005A5061"/>
    <w:rsid w:val="005E4340"/>
    <w:rsid w:val="005F226A"/>
    <w:rsid w:val="00695E34"/>
    <w:rsid w:val="006B5F23"/>
    <w:rsid w:val="006B7774"/>
    <w:rsid w:val="006D49BC"/>
    <w:rsid w:val="007D009A"/>
    <w:rsid w:val="007E1B9C"/>
    <w:rsid w:val="0087429C"/>
    <w:rsid w:val="008F76F3"/>
    <w:rsid w:val="00925EC4"/>
    <w:rsid w:val="009322E6"/>
    <w:rsid w:val="00997D2C"/>
    <w:rsid w:val="009A03E5"/>
    <w:rsid w:val="009C264A"/>
    <w:rsid w:val="009C3440"/>
    <w:rsid w:val="00BB0FDF"/>
    <w:rsid w:val="00C04D3C"/>
    <w:rsid w:val="00CB3E9B"/>
    <w:rsid w:val="00CB430D"/>
    <w:rsid w:val="00CD03A4"/>
    <w:rsid w:val="00EC1189"/>
    <w:rsid w:val="00EE2AB0"/>
    <w:rsid w:val="00EE5A67"/>
    <w:rsid w:val="00EF5A3A"/>
    <w:rsid w:val="00F564EE"/>
    <w:rsid w:val="00F6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9112AB-470E-459D-A26F-80E8754A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9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79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79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79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2023-10-02T02:10:00Z</dcterms:created>
  <dcterms:modified xsi:type="dcterms:W3CDTF">2023-10-13T02:42:00Z</dcterms:modified>
</cp:coreProperties>
</file>