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58664" w14:textId="4C7DCD23" w:rsidR="00CB66D6" w:rsidRPr="00F6250C" w:rsidRDefault="0051364E" w:rsidP="00D6390F">
      <w:pPr>
        <w:jc w:val="center"/>
        <w:rPr>
          <w:rFonts w:ascii="微軟正黑體" w:eastAsia="微軟正黑體" w:hAnsi="微軟正黑體"/>
          <w:b/>
          <w:color w:val="000000" w:themeColor="text1"/>
          <w:sz w:val="36"/>
          <w:szCs w:val="36"/>
        </w:rPr>
      </w:pPr>
      <w:r>
        <w:rPr>
          <w:rFonts w:ascii="微軟正黑體" w:eastAsia="微軟正黑體" w:hAnsi="微軟正黑體" w:hint="eastAsia"/>
          <w:b/>
          <w:color w:val="000000" w:themeColor="text1"/>
          <w:sz w:val="36"/>
          <w:szCs w:val="36"/>
        </w:rPr>
        <w:t>上半年台股主動型基金落後大盤　非戰之罪</w:t>
      </w:r>
    </w:p>
    <w:p w14:paraId="1C7F83BF" w14:textId="27FEDFC3" w:rsidR="00FE1173" w:rsidRDefault="00D6390F" w:rsidP="00A66A41">
      <w:pPr>
        <w:jc w:val="center"/>
        <w:rPr>
          <w:rFonts w:ascii="微軟正黑體" w:eastAsia="微軟正黑體" w:hAnsi="微軟正黑體"/>
          <w:b/>
          <w:color w:val="000000" w:themeColor="text1"/>
          <w:sz w:val="32"/>
          <w:szCs w:val="32"/>
        </w:rPr>
      </w:pPr>
      <w:r w:rsidRPr="00F6250C">
        <w:rPr>
          <w:rFonts w:ascii="微軟正黑體" w:eastAsia="微軟正黑體" w:hAnsi="微軟正黑體" w:hint="eastAsia"/>
          <w:b/>
          <w:color w:val="000000" w:themeColor="text1"/>
          <w:sz w:val="32"/>
          <w:szCs w:val="32"/>
        </w:rPr>
        <w:t xml:space="preserve">  邱顯比</w:t>
      </w:r>
      <w:r w:rsidR="00F50D98" w:rsidRPr="00F6250C">
        <w:rPr>
          <w:rFonts w:ascii="微軟正黑體" w:eastAsia="微軟正黑體" w:hAnsi="微軟正黑體" w:hint="eastAsia"/>
          <w:b/>
          <w:color w:val="000000" w:themeColor="text1"/>
          <w:sz w:val="32"/>
          <w:szCs w:val="32"/>
        </w:rPr>
        <w:t xml:space="preserve">　李存修</w:t>
      </w:r>
    </w:p>
    <w:p w14:paraId="77DAFED3" w14:textId="77777777" w:rsidR="0051364E" w:rsidRPr="0051364E" w:rsidRDefault="0051364E" w:rsidP="00A66A41">
      <w:pPr>
        <w:jc w:val="center"/>
        <w:rPr>
          <w:rFonts w:ascii="微軟正黑體" w:eastAsia="微軟正黑體" w:hAnsi="微軟正黑體"/>
          <w:b/>
          <w:color w:val="000000" w:themeColor="text1"/>
          <w:szCs w:val="24"/>
        </w:rPr>
      </w:pPr>
    </w:p>
    <w:p w14:paraId="5A41D966" w14:textId="3BAC343B" w:rsidR="0051364E" w:rsidRPr="00D65B6C" w:rsidRDefault="0051364E" w:rsidP="0051364E">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6月</w:t>
      </w:r>
      <w:r w:rsidR="00B90DB1">
        <w:rPr>
          <w:rFonts w:ascii="微軟正黑體" w:eastAsia="微軟正黑體" w:hAnsi="微軟正黑體" w:hint="eastAsia"/>
          <w:color w:val="000000" w:themeColor="text1"/>
          <w:sz w:val="28"/>
          <w:szCs w:val="28"/>
        </w:rPr>
        <w:t>美國</w:t>
      </w:r>
      <w:r>
        <w:rPr>
          <w:rFonts w:ascii="微軟正黑體" w:eastAsia="微軟正黑體" w:hAnsi="微軟正黑體" w:hint="eastAsia"/>
          <w:color w:val="000000" w:themeColor="text1"/>
          <w:sz w:val="28"/>
          <w:szCs w:val="28"/>
        </w:rPr>
        <w:t>股市圍繞著利率憂慮趨緩</w:t>
      </w:r>
      <w:proofErr w:type="gramStart"/>
      <w:r>
        <w:rPr>
          <w:rFonts w:ascii="微軟正黑體" w:eastAsia="微軟正黑體" w:hAnsi="微軟正黑體" w:hint="eastAsia"/>
          <w:color w:val="000000" w:themeColor="text1"/>
          <w:sz w:val="28"/>
          <w:szCs w:val="28"/>
        </w:rPr>
        <w:t>以及輝達</w:t>
      </w:r>
      <w:proofErr w:type="gramEnd"/>
      <w:r>
        <w:rPr>
          <w:rFonts w:ascii="微軟正黑體" w:eastAsia="微軟正黑體" w:hAnsi="微軟正黑體" w:hint="eastAsia"/>
          <w:color w:val="000000" w:themeColor="text1"/>
          <w:sz w:val="28"/>
          <w:szCs w:val="28"/>
        </w:rPr>
        <w:t>引領</w:t>
      </w:r>
      <w:r>
        <w:rPr>
          <w:rFonts w:ascii="微軟正黑體" w:eastAsia="微軟正黑體" w:hAnsi="微軟正黑體"/>
          <w:color w:val="000000" w:themeColor="text1"/>
          <w:sz w:val="28"/>
          <w:szCs w:val="28"/>
        </w:rPr>
        <w:t>AI</w:t>
      </w:r>
      <w:r>
        <w:rPr>
          <w:rFonts w:ascii="微軟正黑體" w:eastAsia="微軟正黑體" w:hAnsi="微軟正黑體" w:hint="eastAsia"/>
          <w:color w:val="000000" w:themeColor="text1"/>
          <w:sz w:val="28"/>
          <w:szCs w:val="28"/>
        </w:rPr>
        <w:t>概念持續發酵兩條主線</w:t>
      </w:r>
      <w:r w:rsidR="0008086D"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美國5月失業率上升至4%，個人消費支出下滑，通膨數據溫和，為降息營造了空間</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6月F</w:t>
      </w:r>
      <w:r>
        <w:rPr>
          <w:rFonts w:ascii="微軟正黑體" w:eastAsia="微軟正黑體" w:hAnsi="微軟正黑體"/>
          <w:color w:val="000000" w:themeColor="text1"/>
          <w:sz w:val="28"/>
          <w:szCs w:val="28"/>
        </w:rPr>
        <w:t>OMC</w:t>
      </w:r>
      <w:r>
        <w:rPr>
          <w:rFonts w:ascii="微軟正黑體" w:eastAsia="微軟正黑體" w:hAnsi="微軟正黑體" w:hint="eastAsia"/>
          <w:color w:val="000000" w:themeColor="text1"/>
          <w:sz w:val="28"/>
          <w:szCs w:val="28"/>
        </w:rPr>
        <w:t>會後聯</w:t>
      </w:r>
      <w:proofErr w:type="gramStart"/>
      <w:r>
        <w:rPr>
          <w:rFonts w:ascii="微軟正黑體" w:eastAsia="微軟正黑體" w:hAnsi="微軟正黑體" w:hint="eastAsia"/>
          <w:color w:val="000000" w:themeColor="text1"/>
          <w:sz w:val="28"/>
          <w:szCs w:val="28"/>
        </w:rPr>
        <w:t>準</w:t>
      </w:r>
      <w:proofErr w:type="gramEnd"/>
      <w:r>
        <w:rPr>
          <w:rFonts w:ascii="微軟正黑體" w:eastAsia="微軟正黑體" w:hAnsi="微軟正黑體" w:hint="eastAsia"/>
          <w:color w:val="000000" w:themeColor="text1"/>
          <w:sz w:val="28"/>
          <w:szCs w:val="28"/>
        </w:rPr>
        <w:t>會主席鮑爾重申</w:t>
      </w:r>
      <w:proofErr w:type="gramStart"/>
      <w:r>
        <w:rPr>
          <w:rFonts w:ascii="微軟正黑體" w:eastAsia="微軟正黑體" w:hAnsi="微軟正黑體" w:hint="eastAsia"/>
          <w:color w:val="000000" w:themeColor="text1"/>
          <w:sz w:val="28"/>
          <w:szCs w:val="28"/>
        </w:rPr>
        <w:t>升息非基</w:t>
      </w:r>
      <w:proofErr w:type="gramEnd"/>
      <w:r>
        <w:rPr>
          <w:rFonts w:ascii="微軟正黑體" w:eastAsia="微軟正黑體" w:hAnsi="微軟正黑體" w:hint="eastAsia"/>
          <w:color w:val="000000" w:themeColor="text1"/>
          <w:sz w:val="28"/>
          <w:szCs w:val="28"/>
        </w:rPr>
        <w:t>準情境，利率點陣圖的中位數顯示</w:t>
      </w:r>
      <w:proofErr w:type="gramStart"/>
      <w:r>
        <w:rPr>
          <w:rFonts w:ascii="微軟正黑體" w:eastAsia="微軟正黑體" w:hAnsi="微軟正黑體" w:hint="eastAsia"/>
          <w:color w:val="000000" w:themeColor="text1"/>
          <w:sz w:val="28"/>
          <w:szCs w:val="28"/>
        </w:rPr>
        <w:t>年底前降</w:t>
      </w:r>
      <w:proofErr w:type="gramEnd"/>
      <w:r>
        <w:rPr>
          <w:rFonts w:ascii="微軟正黑體" w:eastAsia="微軟正黑體" w:hAnsi="微軟正黑體" w:hint="eastAsia"/>
          <w:color w:val="000000" w:themeColor="text1"/>
          <w:sz w:val="28"/>
          <w:szCs w:val="28"/>
        </w:rPr>
        <w:t>息一次，美國10年期公債殖利率由5月底的4.51%下降至6月底的4.36%</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A</w:t>
      </w:r>
      <w:r>
        <w:rPr>
          <w:rFonts w:ascii="微軟正黑體" w:eastAsia="微軟正黑體" w:hAnsi="微軟正黑體"/>
          <w:color w:val="000000" w:themeColor="text1"/>
          <w:sz w:val="28"/>
          <w:szCs w:val="28"/>
        </w:rPr>
        <w:t>I</w:t>
      </w:r>
      <w:r>
        <w:rPr>
          <w:rFonts w:ascii="微軟正黑體" w:eastAsia="微軟正黑體" w:hAnsi="微軟正黑體" w:hint="eastAsia"/>
          <w:color w:val="000000" w:themeColor="text1"/>
          <w:sz w:val="28"/>
          <w:szCs w:val="28"/>
        </w:rPr>
        <w:t>晶片大</w:t>
      </w:r>
      <w:proofErr w:type="gramStart"/>
      <w:r>
        <w:rPr>
          <w:rFonts w:ascii="微軟正黑體" w:eastAsia="微軟正黑體" w:hAnsi="微軟正黑體" w:hint="eastAsia"/>
          <w:color w:val="000000" w:themeColor="text1"/>
          <w:sz w:val="28"/>
          <w:szCs w:val="28"/>
        </w:rPr>
        <w:t>廠輝達</w:t>
      </w:r>
      <w:proofErr w:type="gramEnd"/>
      <w:r>
        <w:rPr>
          <w:rFonts w:ascii="微軟正黑體" w:eastAsia="微軟正黑體" w:hAnsi="微軟正黑體" w:hint="eastAsia"/>
          <w:color w:val="000000" w:themeColor="text1"/>
          <w:sz w:val="28"/>
          <w:szCs w:val="28"/>
        </w:rPr>
        <w:t>6月股票10比1分割後持續上漲，6月18日盤中超越微軟成為全世界市值最大公司，此外蘋果公司開發者大會宣布AI新功能，也引發供應鏈股價上漲</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N</w:t>
      </w:r>
      <w:r>
        <w:rPr>
          <w:rFonts w:ascii="微軟正黑體" w:eastAsia="微軟正黑體" w:hAnsi="微軟正黑體"/>
          <w:color w:val="000000" w:themeColor="text1"/>
          <w:sz w:val="28"/>
          <w:szCs w:val="28"/>
        </w:rPr>
        <w:t>ASDAQ</w:t>
      </w:r>
      <w:r>
        <w:rPr>
          <w:rFonts w:ascii="微軟正黑體" w:eastAsia="微軟正黑體" w:hAnsi="微軟正黑體" w:hint="eastAsia"/>
          <w:color w:val="000000" w:themeColor="text1"/>
          <w:sz w:val="28"/>
          <w:szCs w:val="28"/>
        </w:rPr>
        <w:t>綜合指數6月上漲5.96%，S</w:t>
      </w:r>
      <w:r>
        <w:rPr>
          <w:rFonts w:ascii="微軟正黑體" w:eastAsia="微軟正黑體" w:hAnsi="微軟正黑體"/>
          <w:color w:val="000000" w:themeColor="text1"/>
          <w:sz w:val="28"/>
          <w:szCs w:val="28"/>
        </w:rPr>
        <w:t>&amp;P 500</w:t>
      </w:r>
      <w:r>
        <w:rPr>
          <w:rFonts w:ascii="微軟正黑體" w:eastAsia="微軟正黑體" w:hAnsi="微軟正黑體" w:hint="eastAsia"/>
          <w:color w:val="000000" w:themeColor="text1"/>
          <w:sz w:val="28"/>
          <w:szCs w:val="28"/>
        </w:rPr>
        <w:t>指數上漲3.47%，道瓊工業指數僅上漲1.12%，個股漲跌差異很大</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歐洲央行</w:t>
      </w:r>
      <w:proofErr w:type="gramStart"/>
      <w:r>
        <w:rPr>
          <w:rFonts w:ascii="微軟正黑體" w:eastAsia="微軟正黑體" w:hAnsi="微軟正黑體" w:hint="eastAsia"/>
          <w:color w:val="000000" w:themeColor="text1"/>
          <w:sz w:val="28"/>
          <w:szCs w:val="28"/>
        </w:rPr>
        <w:t>６</w:t>
      </w:r>
      <w:proofErr w:type="gramEnd"/>
      <w:r>
        <w:rPr>
          <w:rFonts w:ascii="微軟正黑體" w:eastAsia="微軟正黑體" w:hAnsi="微軟正黑體" w:hint="eastAsia"/>
          <w:color w:val="000000" w:themeColor="text1"/>
          <w:sz w:val="28"/>
          <w:szCs w:val="28"/>
        </w:rPr>
        <w:t>月宣布降息1碼，但因經濟不振，歐洲議會右翼崛起，法國解散國會改選等因素，M</w:t>
      </w:r>
      <w:r>
        <w:rPr>
          <w:rFonts w:ascii="微軟正黑體" w:eastAsia="微軟正黑體" w:hAnsi="微軟正黑體"/>
          <w:color w:val="000000" w:themeColor="text1"/>
          <w:sz w:val="28"/>
          <w:szCs w:val="28"/>
        </w:rPr>
        <w:t>SCI</w:t>
      </w:r>
      <w:r>
        <w:rPr>
          <w:rFonts w:ascii="微軟正黑體" w:eastAsia="微軟正黑體" w:hAnsi="微軟正黑體" w:hint="eastAsia"/>
          <w:color w:val="000000" w:themeColor="text1"/>
          <w:sz w:val="28"/>
          <w:szCs w:val="28"/>
        </w:rPr>
        <w:t>歐洲指數單月下跌3.4%</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M</w:t>
      </w:r>
      <w:r>
        <w:rPr>
          <w:rFonts w:ascii="微軟正黑體" w:eastAsia="微軟正黑體" w:hAnsi="微軟正黑體"/>
          <w:color w:val="000000" w:themeColor="text1"/>
          <w:sz w:val="28"/>
          <w:szCs w:val="28"/>
        </w:rPr>
        <w:t>SCI</w:t>
      </w:r>
      <w:r>
        <w:rPr>
          <w:rFonts w:ascii="微軟正黑體" w:eastAsia="微軟正黑體" w:hAnsi="微軟正黑體" w:hint="eastAsia"/>
          <w:color w:val="000000" w:themeColor="text1"/>
          <w:sz w:val="28"/>
          <w:szCs w:val="28"/>
        </w:rPr>
        <w:t>新興市場指數上漲4.01%，但中國股市持續弱勢，上</w:t>
      </w:r>
      <w:proofErr w:type="gramStart"/>
      <w:r>
        <w:rPr>
          <w:rFonts w:ascii="微軟正黑體" w:eastAsia="微軟正黑體" w:hAnsi="微軟正黑體" w:hint="eastAsia"/>
          <w:color w:val="000000" w:themeColor="text1"/>
          <w:sz w:val="28"/>
          <w:szCs w:val="28"/>
        </w:rPr>
        <w:t>証</w:t>
      </w:r>
      <w:proofErr w:type="gramEnd"/>
      <w:r>
        <w:rPr>
          <w:rFonts w:ascii="微軟正黑體" w:eastAsia="微軟正黑體" w:hAnsi="微軟正黑體" w:hint="eastAsia"/>
          <w:color w:val="000000" w:themeColor="text1"/>
          <w:sz w:val="28"/>
          <w:szCs w:val="28"/>
        </w:rPr>
        <w:t>指數下跌3.87%，深圳成指下跌5.51%</w:t>
      </w:r>
      <w:r w:rsidR="00B92D37" w:rsidRPr="00D65B6C">
        <w:rPr>
          <w:rFonts w:ascii="微軟正黑體" w:eastAsia="微軟正黑體" w:hAnsi="微軟正黑體" w:hint="eastAsia"/>
          <w:color w:val="000000" w:themeColor="text1"/>
          <w:sz w:val="28"/>
          <w:szCs w:val="28"/>
        </w:rPr>
        <w:t>。</w:t>
      </w:r>
      <w:r w:rsidR="00B92D37">
        <w:rPr>
          <w:rFonts w:ascii="微軟正黑體" w:eastAsia="微軟正黑體" w:hAnsi="微軟正黑體" w:hint="eastAsia"/>
          <w:color w:val="000000" w:themeColor="text1"/>
          <w:sz w:val="28"/>
          <w:szCs w:val="28"/>
        </w:rPr>
        <w:t>印度總理莫迪連任，不確定性消除，印度</w:t>
      </w:r>
      <w:r w:rsidR="00B92D37">
        <w:rPr>
          <w:rFonts w:ascii="微軟正黑體" w:eastAsia="微軟正黑體" w:hAnsi="微軟正黑體"/>
          <w:color w:val="000000" w:themeColor="text1"/>
          <w:sz w:val="28"/>
          <w:szCs w:val="28"/>
        </w:rPr>
        <w:t>Nifty</w:t>
      </w:r>
      <w:r w:rsidR="00B92D37">
        <w:rPr>
          <w:rFonts w:ascii="微軟正黑體" w:eastAsia="微軟正黑體" w:hAnsi="微軟正黑體" w:hint="eastAsia"/>
          <w:color w:val="000000" w:themeColor="text1"/>
          <w:sz w:val="28"/>
          <w:szCs w:val="28"/>
        </w:rPr>
        <w:t>指數上漲6.57%</w:t>
      </w:r>
      <w:r w:rsidR="00B92D37" w:rsidRPr="00D65B6C">
        <w:rPr>
          <w:rFonts w:ascii="微軟正黑體" w:eastAsia="微軟正黑體" w:hAnsi="微軟正黑體" w:hint="eastAsia"/>
          <w:color w:val="000000" w:themeColor="text1"/>
          <w:sz w:val="28"/>
          <w:szCs w:val="28"/>
        </w:rPr>
        <w:t>。</w:t>
      </w:r>
      <w:r w:rsidR="00B92D37">
        <w:rPr>
          <w:rFonts w:ascii="微軟正黑體" w:eastAsia="微軟正黑體" w:hAnsi="微軟正黑體"/>
          <w:color w:val="000000" w:themeColor="text1"/>
          <w:sz w:val="28"/>
          <w:szCs w:val="28"/>
        </w:rPr>
        <w:t>MSCI</w:t>
      </w:r>
      <w:r w:rsidR="00B92D37">
        <w:rPr>
          <w:rFonts w:ascii="微軟正黑體" w:eastAsia="微軟正黑體" w:hAnsi="微軟正黑體" w:hint="eastAsia"/>
          <w:color w:val="000000" w:themeColor="text1"/>
          <w:sz w:val="28"/>
          <w:szCs w:val="28"/>
        </w:rPr>
        <w:t>世界指數上漲2.26%</w:t>
      </w:r>
      <w:r w:rsidR="00B92D37" w:rsidRPr="00D65B6C">
        <w:rPr>
          <w:rFonts w:ascii="微軟正黑體" w:eastAsia="微軟正黑體" w:hAnsi="微軟正黑體" w:hint="eastAsia"/>
          <w:color w:val="000000" w:themeColor="text1"/>
          <w:sz w:val="28"/>
          <w:szCs w:val="28"/>
        </w:rPr>
        <w:t>。</w:t>
      </w:r>
    </w:p>
    <w:p w14:paraId="685F4E29" w14:textId="16B6A64A" w:rsidR="00B90DB1" w:rsidRDefault="00B90DB1" w:rsidP="00171BF2">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上半年各國股市漲多跌少，除台股外以日本（日經225指數</w:t>
      </w:r>
      <w:r>
        <w:rPr>
          <w:rFonts w:ascii="微軟正黑體" w:eastAsia="微軟正黑體" w:hAnsi="微軟正黑體" w:hint="eastAsia"/>
          <w:color w:val="000000" w:themeColor="text1"/>
          <w:sz w:val="28"/>
          <w:szCs w:val="28"/>
        </w:rPr>
        <w:lastRenderedPageBreak/>
        <w:t>18.28%，東</w:t>
      </w:r>
      <w:proofErr w:type="gramStart"/>
      <w:r>
        <w:rPr>
          <w:rFonts w:ascii="微軟正黑體" w:eastAsia="微軟正黑體" w:hAnsi="微軟正黑體" w:hint="eastAsia"/>
          <w:color w:val="000000" w:themeColor="text1"/>
          <w:sz w:val="28"/>
          <w:szCs w:val="28"/>
        </w:rPr>
        <w:t>証</w:t>
      </w:r>
      <w:proofErr w:type="spellStart"/>
      <w:proofErr w:type="gramEnd"/>
      <w:r>
        <w:rPr>
          <w:rFonts w:ascii="微軟正黑體" w:eastAsia="微軟正黑體" w:hAnsi="微軟正黑體"/>
          <w:color w:val="000000" w:themeColor="text1"/>
          <w:sz w:val="28"/>
          <w:szCs w:val="28"/>
        </w:rPr>
        <w:t>Topix</w:t>
      </w:r>
      <w:proofErr w:type="spellEnd"/>
      <w:r>
        <w:rPr>
          <w:rFonts w:ascii="微軟正黑體" w:eastAsia="微軟正黑體" w:hAnsi="微軟正黑體" w:hint="eastAsia"/>
          <w:color w:val="000000" w:themeColor="text1"/>
          <w:sz w:val="28"/>
          <w:szCs w:val="28"/>
        </w:rPr>
        <w:t>指數18.73%</w:t>
      </w:r>
      <w:r>
        <w:rPr>
          <w:rFonts w:ascii="微軟正黑體" w:eastAsia="微軟正黑體" w:hAnsi="微軟正黑體"/>
          <w:color w:val="000000" w:themeColor="text1"/>
          <w:sz w:val="28"/>
          <w:szCs w:val="28"/>
        </w:rPr>
        <w:t>）</w:t>
      </w:r>
      <w:r>
        <w:rPr>
          <w:rFonts w:ascii="微軟正黑體" w:eastAsia="微軟正黑體" w:hAnsi="微軟正黑體" w:hint="eastAsia"/>
          <w:color w:val="000000" w:themeColor="text1"/>
          <w:sz w:val="28"/>
          <w:szCs w:val="28"/>
        </w:rPr>
        <w:t>及美國（N</w:t>
      </w:r>
      <w:r>
        <w:rPr>
          <w:rFonts w:ascii="微軟正黑體" w:eastAsia="微軟正黑體" w:hAnsi="微軟正黑體"/>
          <w:color w:val="000000" w:themeColor="text1"/>
          <w:sz w:val="28"/>
          <w:szCs w:val="28"/>
        </w:rPr>
        <w:t>ASDAQ</w:t>
      </w:r>
      <w:r>
        <w:rPr>
          <w:rFonts w:ascii="微軟正黑體" w:eastAsia="微軟正黑體" w:hAnsi="微軟正黑體" w:hint="eastAsia"/>
          <w:color w:val="000000" w:themeColor="text1"/>
          <w:sz w:val="28"/>
          <w:szCs w:val="28"/>
        </w:rPr>
        <w:t>指數18.13%，S</w:t>
      </w:r>
      <w:r>
        <w:rPr>
          <w:rFonts w:ascii="微軟正黑體" w:eastAsia="微軟正黑體" w:hAnsi="微軟正黑體"/>
          <w:color w:val="000000" w:themeColor="text1"/>
          <w:sz w:val="28"/>
          <w:szCs w:val="28"/>
        </w:rPr>
        <w:t>&amp;P 500</w:t>
      </w:r>
      <w:r>
        <w:rPr>
          <w:rFonts w:ascii="微軟正黑體" w:eastAsia="微軟正黑體" w:hAnsi="微軟正黑體" w:hint="eastAsia"/>
          <w:color w:val="000000" w:themeColor="text1"/>
          <w:sz w:val="28"/>
          <w:szCs w:val="28"/>
        </w:rPr>
        <w:t>指數14.48%）漲幅較高</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M</w:t>
      </w:r>
      <w:r>
        <w:rPr>
          <w:rFonts w:ascii="微軟正黑體" w:eastAsia="微軟正黑體" w:hAnsi="微軟正黑體"/>
          <w:color w:val="000000" w:themeColor="text1"/>
          <w:sz w:val="28"/>
          <w:szCs w:val="28"/>
        </w:rPr>
        <w:t>SCI</w:t>
      </w:r>
      <w:r>
        <w:rPr>
          <w:rFonts w:ascii="微軟正黑體" w:eastAsia="微軟正黑體" w:hAnsi="微軟正黑體" w:hint="eastAsia"/>
          <w:color w:val="000000" w:themeColor="text1"/>
          <w:sz w:val="28"/>
          <w:szCs w:val="28"/>
        </w:rPr>
        <w:t>世界指數上漲11.58%，整體表現</w:t>
      </w:r>
      <w:r w:rsidR="00447BAD">
        <w:rPr>
          <w:rFonts w:ascii="微軟正黑體" w:eastAsia="微軟正黑體" w:hAnsi="微軟正黑體" w:hint="eastAsia"/>
          <w:color w:val="000000" w:themeColor="text1"/>
          <w:sz w:val="28"/>
          <w:szCs w:val="28"/>
        </w:rPr>
        <w:t>不</w:t>
      </w:r>
      <w:r>
        <w:rPr>
          <w:rFonts w:ascii="微軟正黑體" w:eastAsia="微軟正黑體" w:hAnsi="微軟正黑體" w:hint="eastAsia"/>
          <w:color w:val="000000" w:themeColor="text1"/>
          <w:sz w:val="28"/>
          <w:szCs w:val="28"/>
        </w:rPr>
        <w:t>錯</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color w:val="000000" w:themeColor="text1"/>
          <w:sz w:val="28"/>
          <w:szCs w:val="28"/>
        </w:rPr>
        <w:t>MSCI</w:t>
      </w:r>
      <w:r>
        <w:rPr>
          <w:rFonts w:ascii="微軟正黑體" w:eastAsia="微軟正黑體" w:hAnsi="微軟正黑體" w:hint="eastAsia"/>
          <w:color w:val="000000" w:themeColor="text1"/>
          <w:sz w:val="28"/>
          <w:szCs w:val="28"/>
        </w:rPr>
        <w:t>新興市場指數上漲7.68%，MSCI歐洲指數小漲3.34%，中國股市（上</w:t>
      </w:r>
      <w:proofErr w:type="gramStart"/>
      <w:r>
        <w:rPr>
          <w:rFonts w:ascii="微軟正黑體" w:eastAsia="微軟正黑體" w:hAnsi="微軟正黑體" w:hint="eastAsia"/>
          <w:color w:val="000000" w:themeColor="text1"/>
          <w:sz w:val="28"/>
          <w:szCs w:val="28"/>
        </w:rPr>
        <w:t>証</w:t>
      </w:r>
      <w:proofErr w:type="gramEnd"/>
      <w:r>
        <w:rPr>
          <w:rFonts w:ascii="微軟正黑體" w:eastAsia="微軟正黑體" w:hAnsi="微軟正黑體" w:hint="eastAsia"/>
          <w:color w:val="000000" w:themeColor="text1"/>
          <w:sz w:val="28"/>
          <w:szCs w:val="28"/>
        </w:rPr>
        <w:t>指數-0.25%，深圳成指-7.1%）表現不佳</w:t>
      </w:r>
      <w:r w:rsidRPr="00D65B6C">
        <w:rPr>
          <w:rFonts w:ascii="微軟正黑體" w:eastAsia="微軟正黑體" w:hAnsi="微軟正黑體" w:hint="eastAsia"/>
          <w:color w:val="000000" w:themeColor="text1"/>
          <w:sz w:val="28"/>
          <w:szCs w:val="28"/>
        </w:rPr>
        <w:t>。</w:t>
      </w:r>
    </w:p>
    <w:p w14:paraId="7D8F8070" w14:textId="23355458" w:rsidR="00B90DB1" w:rsidRDefault="00B90DB1" w:rsidP="00171BF2">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跨國投資股票型基金6月績效差強人意，809檔基金平均報酬率1.6</w:t>
      </w:r>
      <w:r w:rsidR="00F277B9">
        <w:rPr>
          <w:rFonts w:ascii="微軟正黑體" w:eastAsia="微軟正黑體" w:hAnsi="微軟正黑體" w:hint="eastAsia"/>
          <w:color w:val="000000" w:themeColor="text1"/>
          <w:sz w:val="28"/>
          <w:szCs w:val="28"/>
        </w:rPr>
        <w:t>8</w:t>
      </w:r>
      <w:r>
        <w:rPr>
          <w:rFonts w:ascii="微軟正黑體" w:eastAsia="微軟正黑體" w:hAnsi="微軟正黑體" w:hint="eastAsia"/>
          <w:color w:val="000000" w:themeColor="text1"/>
          <w:sz w:val="28"/>
          <w:szCs w:val="28"/>
        </w:rPr>
        <w:t>%，略遜於</w:t>
      </w:r>
      <w:r>
        <w:rPr>
          <w:rFonts w:ascii="微軟正黑體" w:eastAsia="微軟正黑體" w:hAnsi="微軟正黑體"/>
          <w:color w:val="000000" w:themeColor="text1"/>
          <w:sz w:val="28"/>
          <w:szCs w:val="28"/>
        </w:rPr>
        <w:t>MSCI</w:t>
      </w:r>
      <w:r>
        <w:rPr>
          <w:rFonts w:ascii="微軟正黑體" w:eastAsia="微軟正黑體" w:hAnsi="微軟正黑體" w:hint="eastAsia"/>
          <w:color w:val="000000" w:themeColor="text1"/>
          <w:sz w:val="28"/>
          <w:szCs w:val="28"/>
        </w:rPr>
        <w:t>世界指數，3</w:t>
      </w:r>
      <w:r>
        <w:rPr>
          <w:rFonts w:ascii="微軟正黑體" w:eastAsia="微軟正黑體" w:hAnsi="微軟正黑體"/>
          <w:color w:val="000000" w:themeColor="text1"/>
          <w:sz w:val="28"/>
          <w:szCs w:val="28"/>
        </w:rPr>
        <w:t>52</w:t>
      </w:r>
      <w:r>
        <w:rPr>
          <w:rFonts w:ascii="微軟正黑體" w:eastAsia="微軟正黑體" w:hAnsi="微軟正黑體" w:hint="eastAsia"/>
          <w:color w:val="000000" w:themeColor="text1"/>
          <w:sz w:val="28"/>
          <w:szCs w:val="28"/>
        </w:rPr>
        <w:t>檔全球一般股票型基金平均報酬率2.24%（全部幣別，以下同）</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亞洲股票型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4.0</w:t>
      </w:r>
      <w:r w:rsidR="00F277B9">
        <w:rPr>
          <w:rFonts w:ascii="微軟正黑體" w:eastAsia="微軟正黑體" w:hAnsi="微軟正黑體" w:hint="eastAsia"/>
          <w:color w:val="000000" w:themeColor="text1"/>
          <w:sz w:val="28"/>
          <w:szCs w:val="28"/>
        </w:rPr>
        <w:t>1</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美國股票型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5.15</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其他單一國家股票型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3.</w:t>
      </w:r>
      <w:r w:rsidR="00F277B9">
        <w:rPr>
          <w:rFonts w:ascii="微軟正黑體" w:eastAsia="微軟正黑體" w:hAnsi="微軟正黑體" w:hint="eastAsia"/>
          <w:color w:val="000000" w:themeColor="text1"/>
          <w:sz w:val="28"/>
          <w:szCs w:val="28"/>
        </w:rPr>
        <w:t>59</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，其中以印度基金表現最佳，是表現較佳子類</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中國大陸A股</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-1.</w:t>
      </w:r>
      <w:r w:rsidR="00F277B9">
        <w:rPr>
          <w:rFonts w:ascii="微軟正黑體" w:eastAsia="微軟正黑體" w:hAnsi="微軟正黑體" w:hint="eastAsia"/>
          <w:color w:val="000000" w:themeColor="text1"/>
          <w:sz w:val="28"/>
          <w:szCs w:val="28"/>
        </w:rPr>
        <w:t>45</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中國大陸一般型E</w:t>
      </w:r>
      <w:r>
        <w:rPr>
          <w:rFonts w:ascii="微軟正黑體" w:eastAsia="微軟正黑體" w:hAnsi="微軟正黑體"/>
          <w:color w:val="000000" w:themeColor="text1"/>
          <w:sz w:val="28"/>
          <w:szCs w:val="28"/>
        </w:rPr>
        <w:t>TF</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w:t>
      </w:r>
      <w:r>
        <w:rPr>
          <w:rFonts w:ascii="微軟正黑體" w:eastAsia="微軟正黑體" w:hAnsi="微軟正黑體"/>
          <w:color w:val="000000" w:themeColor="text1"/>
          <w:sz w:val="28"/>
          <w:szCs w:val="28"/>
        </w:rPr>
        <w:t>2.47</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表現較差</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總結上半年跨國投資股票型基金普遍有不錯的成績，7</w:t>
      </w:r>
      <w:r>
        <w:rPr>
          <w:rFonts w:ascii="微軟正黑體" w:eastAsia="微軟正黑體" w:hAnsi="微軟正黑體"/>
          <w:color w:val="000000" w:themeColor="text1"/>
          <w:sz w:val="28"/>
          <w:szCs w:val="28"/>
        </w:rPr>
        <w:t>91</w:t>
      </w:r>
      <w:r>
        <w:rPr>
          <w:rFonts w:ascii="微軟正黑體" w:eastAsia="微軟正黑體" w:hAnsi="微軟正黑體" w:hint="eastAsia"/>
          <w:color w:val="000000" w:themeColor="text1"/>
          <w:sz w:val="28"/>
          <w:szCs w:val="28"/>
        </w:rPr>
        <w:t>檔基金平均報酬率11.2</w:t>
      </w:r>
      <w:r w:rsidR="00F277B9">
        <w:rPr>
          <w:rFonts w:ascii="微軟正黑體" w:eastAsia="微軟正黑體" w:hAnsi="微軟正黑體" w:hint="eastAsia"/>
          <w:color w:val="000000" w:themeColor="text1"/>
          <w:sz w:val="28"/>
          <w:szCs w:val="28"/>
        </w:rPr>
        <w:t>1</w:t>
      </w:r>
      <w:r>
        <w:rPr>
          <w:rFonts w:ascii="微軟正黑體" w:eastAsia="微軟正黑體" w:hAnsi="微軟正黑體" w:hint="eastAsia"/>
          <w:color w:val="000000" w:themeColor="text1"/>
          <w:sz w:val="28"/>
          <w:szCs w:val="28"/>
        </w:rPr>
        <w:t>%，3</w:t>
      </w:r>
      <w:r>
        <w:rPr>
          <w:rFonts w:ascii="微軟正黑體" w:eastAsia="微軟正黑體" w:hAnsi="微軟正黑體"/>
          <w:color w:val="000000" w:themeColor="text1"/>
          <w:sz w:val="28"/>
          <w:szCs w:val="28"/>
        </w:rPr>
        <w:t>42</w:t>
      </w:r>
      <w:r>
        <w:rPr>
          <w:rFonts w:ascii="微軟正黑體" w:eastAsia="微軟正黑體" w:hAnsi="微軟正黑體" w:hint="eastAsia"/>
          <w:color w:val="000000" w:themeColor="text1"/>
          <w:sz w:val="28"/>
          <w:szCs w:val="28"/>
        </w:rPr>
        <w:t>檔全球一般股票型基金（全部幣別）平均報酬率13.</w:t>
      </w:r>
      <w:r w:rsidR="00F277B9">
        <w:rPr>
          <w:rFonts w:ascii="微軟正黑體" w:eastAsia="微軟正黑體" w:hAnsi="微軟正黑體" w:hint="eastAsia"/>
          <w:color w:val="000000" w:themeColor="text1"/>
          <w:sz w:val="28"/>
          <w:szCs w:val="28"/>
        </w:rPr>
        <w:t>59</w:t>
      </w:r>
      <w:r>
        <w:rPr>
          <w:rFonts w:ascii="微軟正黑體" w:eastAsia="微軟正黑體" w:hAnsi="微軟正黑體" w:hint="eastAsia"/>
          <w:color w:val="000000" w:themeColor="text1"/>
          <w:sz w:val="28"/>
          <w:szCs w:val="28"/>
        </w:rPr>
        <w:t>%，而因為上半年台幣對美元貶值達5.28%，台幣計</w:t>
      </w:r>
      <w:r w:rsidR="00447BAD">
        <w:rPr>
          <w:rFonts w:ascii="微軟正黑體" w:eastAsia="微軟正黑體" w:hAnsi="微軟正黑體" w:hint="eastAsia"/>
          <w:color w:val="000000" w:themeColor="text1"/>
          <w:sz w:val="28"/>
          <w:szCs w:val="28"/>
        </w:rPr>
        <w:t>價</w:t>
      </w:r>
      <w:r>
        <w:rPr>
          <w:rFonts w:ascii="微軟正黑體" w:eastAsia="微軟正黑體" w:hAnsi="微軟正黑體" w:hint="eastAsia"/>
          <w:color w:val="000000" w:themeColor="text1"/>
          <w:sz w:val="28"/>
          <w:szCs w:val="28"/>
        </w:rPr>
        <w:t>級別報酬率達到16.2</w:t>
      </w:r>
      <w:r w:rsidR="00F277B9">
        <w:rPr>
          <w:rFonts w:ascii="微軟正黑體" w:eastAsia="微軟正黑體" w:hAnsi="微軟正黑體" w:hint="eastAsia"/>
          <w:color w:val="000000" w:themeColor="text1"/>
          <w:sz w:val="28"/>
          <w:szCs w:val="28"/>
        </w:rPr>
        <w:t>0</w:t>
      </w:r>
      <w:r>
        <w:rPr>
          <w:rFonts w:ascii="微軟正黑體" w:eastAsia="微軟正黑體" w:hAnsi="微軟正黑體" w:hint="eastAsia"/>
          <w:color w:val="000000" w:themeColor="text1"/>
          <w:sz w:val="28"/>
          <w:szCs w:val="28"/>
        </w:rPr>
        <w:t>%</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美國股票型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24.91</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是報酬率最高的子類，美國一般型E</w:t>
      </w:r>
      <w:r>
        <w:rPr>
          <w:rFonts w:ascii="微軟正黑體" w:eastAsia="微軟正黑體" w:hAnsi="微軟正黑體"/>
          <w:color w:val="000000" w:themeColor="text1"/>
          <w:sz w:val="28"/>
          <w:szCs w:val="28"/>
        </w:rPr>
        <w:t>TF</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1</w:t>
      </w:r>
      <w:r>
        <w:rPr>
          <w:rFonts w:ascii="微軟正黑體" w:eastAsia="微軟正黑體" w:hAnsi="微軟正黑體"/>
          <w:color w:val="000000" w:themeColor="text1"/>
          <w:sz w:val="28"/>
          <w:szCs w:val="28"/>
        </w:rPr>
        <w:t>6.13</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表現不如主動型基金</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產業類E</w:t>
      </w:r>
      <w:r>
        <w:rPr>
          <w:rFonts w:ascii="微軟正黑體" w:eastAsia="微軟正黑體" w:hAnsi="微軟正黑體"/>
          <w:color w:val="000000" w:themeColor="text1"/>
          <w:sz w:val="28"/>
          <w:szCs w:val="28"/>
        </w:rPr>
        <w:t>TF</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1</w:t>
      </w:r>
      <w:r>
        <w:rPr>
          <w:rFonts w:ascii="微軟正黑體" w:eastAsia="微軟正黑體" w:hAnsi="微軟正黑體"/>
          <w:color w:val="000000" w:themeColor="text1"/>
          <w:sz w:val="28"/>
          <w:szCs w:val="28"/>
        </w:rPr>
        <w:t>6.47</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其他單一國家股票型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全部幣別1</w:t>
      </w:r>
      <w:r w:rsidR="00F277B9">
        <w:rPr>
          <w:rFonts w:ascii="微軟正黑體" w:eastAsia="微軟正黑體" w:hAnsi="微軟正黑體" w:hint="eastAsia"/>
          <w:color w:val="000000" w:themeColor="text1"/>
          <w:sz w:val="28"/>
          <w:szCs w:val="28"/>
        </w:rPr>
        <w:t>5</w:t>
      </w:r>
      <w:r>
        <w:rPr>
          <w:rFonts w:ascii="微軟正黑體" w:eastAsia="微軟正黑體" w:hAnsi="微軟正黑體" w:hint="eastAsia"/>
          <w:color w:val="000000" w:themeColor="text1"/>
          <w:sz w:val="28"/>
          <w:szCs w:val="28"/>
        </w:rPr>
        <w:t>.</w:t>
      </w:r>
      <w:r w:rsidR="00F277B9">
        <w:rPr>
          <w:rFonts w:ascii="微軟正黑體" w:eastAsia="微軟正黑體" w:hAnsi="微軟正黑體" w:hint="eastAsia"/>
          <w:color w:val="000000" w:themeColor="text1"/>
          <w:sz w:val="28"/>
          <w:szCs w:val="28"/>
        </w:rPr>
        <w:t>88</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，以下簡稱全，台幣13.</w:t>
      </w:r>
      <w:r w:rsidR="00F277B9">
        <w:rPr>
          <w:rFonts w:ascii="微軟正黑體" w:eastAsia="微軟正黑體" w:hAnsi="微軟正黑體" w:hint="eastAsia"/>
          <w:color w:val="000000" w:themeColor="text1"/>
          <w:sz w:val="28"/>
          <w:szCs w:val="28"/>
        </w:rPr>
        <w:t>0</w:t>
      </w:r>
      <w:r>
        <w:rPr>
          <w:rFonts w:ascii="微軟正黑體" w:eastAsia="微軟正黑體" w:hAnsi="微軟正黑體" w:hint="eastAsia"/>
          <w:color w:val="000000" w:themeColor="text1"/>
          <w:sz w:val="28"/>
          <w:szCs w:val="28"/>
        </w:rPr>
        <w:t>2%，以下簡稱台</w:t>
      </w:r>
      <w:r w:rsidRPr="00D65B6C">
        <w:rPr>
          <w:rFonts w:ascii="微軟正黑體" w:eastAsia="微軟正黑體" w:hAnsi="微軟正黑體" w:hint="eastAsia"/>
          <w:color w:val="000000" w:themeColor="text1"/>
          <w:sz w:val="28"/>
          <w:szCs w:val="28"/>
        </w:rPr>
        <w:t>）</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亞洲股票型</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全13.4</w:t>
      </w:r>
      <w:r w:rsidR="00F277B9">
        <w:rPr>
          <w:rFonts w:ascii="微軟正黑體" w:eastAsia="微軟正黑體" w:hAnsi="微軟正黑體" w:hint="eastAsia"/>
          <w:color w:val="000000" w:themeColor="text1"/>
          <w:sz w:val="28"/>
          <w:szCs w:val="28"/>
        </w:rPr>
        <w:t>7</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，台16.8</w:t>
      </w:r>
      <w:r w:rsidR="00F277B9">
        <w:rPr>
          <w:rFonts w:ascii="微軟正黑體" w:eastAsia="微軟正黑體" w:hAnsi="微軟正黑體" w:hint="eastAsia"/>
          <w:color w:val="000000" w:themeColor="text1"/>
          <w:sz w:val="28"/>
          <w:szCs w:val="28"/>
        </w:rPr>
        <w:t>9</w:t>
      </w:r>
      <w:r w:rsidR="00447BAD">
        <w:rPr>
          <w:rFonts w:ascii="微軟正黑體" w:eastAsia="微軟正黑體" w:hAnsi="微軟正黑體" w:hint="eastAsia"/>
          <w:color w:val="000000" w:themeColor="text1"/>
          <w:sz w:val="28"/>
          <w:szCs w:val="28"/>
        </w:rPr>
        <w:t>%</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日本一般型E</w:t>
      </w:r>
      <w:r w:rsidR="00447BAD">
        <w:rPr>
          <w:rFonts w:ascii="微軟正黑體" w:eastAsia="微軟正黑體" w:hAnsi="微軟正黑體"/>
          <w:color w:val="000000" w:themeColor="text1"/>
          <w:sz w:val="28"/>
          <w:szCs w:val="28"/>
        </w:rPr>
        <w:t>TF</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1</w:t>
      </w:r>
      <w:r w:rsidR="00447BAD">
        <w:rPr>
          <w:rFonts w:ascii="微軟正黑體" w:eastAsia="微軟正黑體" w:hAnsi="微軟正黑體"/>
          <w:color w:val="000000" w:themeColor="text1"/>
          <w:sz w:val="28"/>
          <w:szCs w:val="28"/>
        </w:rPr>
        <w:t>8.40</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日本股票型</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13.55%</w:t>
      </w:r>
      <w:r w:rsidR="00447BAD" w:rsidRPr="00D65B6C">
        <w:rPr>
          <w:rFonts w:ascii="微軟正黑體" w:eastAsia="微軟正黑體" w:hAnsi="微軟正黑體" w:hint="eastAsia"/>
          <w:color w:val="000000" w:themeColor="text1"/>
          <w:sz w:val="28"/>
          <w:szCs w:val="28"/>
        </w:rPr>
        <w:t>）</w:t>
      </w:r>
      <w:r w:rsidR="00065475"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歐洲股票型</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12.04%</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皆有兩位數的報酬</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大中華區股票</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全8.74</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，台11.69%</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中國大陸A股</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全3.9</w:t>
      </w:r>
      <w:r w:rsidR="00F277B9">
        <w:rPr>
          <w:rFonts w:ascii="微軟正黑體" w:eastAsia="微軟正黑體" w:hAnsi="微軟正黑體" w:hint="eastAsia"/>
          <w:color w:val="000000" w:themeColor="text1"/>
          <w:sz w:val="28"/>
          <w:szCs w:val="28"/>
        </w:rPr>
        <w:t>8</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，台</w:t>
      </w:r>
      <w:r w:rsidR="00F277B9">
        <w:rPr>
          <w:rFonts w:ascii="微軟正黑體" w:eastAsia="微軟正黑體" w:hAnsi="微軟正黑體" w:hint="eastAsia"/>
          <w:color w:val="000000" w:themeColor="text1"/>
          <w:sz w:val="28"/>
          <w:szCs w:val="28"/>
        </w:rPr>
        <w:t>6.02</w:t>
      </w:r>
      <w:r w:rsidR="00447BAD">
        <w:rPr>
          <w:rFonts w:ascii="微軟正黑體" w:eastAsia="微軟正黑體" w:hAnsi="微軟正黑體" w:hint="eastAsia"/>
          <w:color w:val="000000" w:themeColor="text1"/>
          <w:sz w:val="28"/>
          <w:szCs w:val="28"/>
        </w:rPr>
        <w:t>%</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中國大陸一般</w:t>
      </w:r>
      <w:r w:rsidR="00447BAD">
        <w:rPr>
          <w:rFonts w:ascii="微軟正黑體" w:eastAsia="微軟正黑體" w:hAnsi="微軟正黑體" w:hint="eastAsia"/>
          <w:color w:val="000000" w:themeColor="text1"/>
          <w:sz w:val="28"/>
          <w:szCs w:val="28"/>
        </w:rPr>
        <w:lastRenderedPageBreak/>
        <w:t>型E</w:t>
      </w:r>
      <w:r w:rsidR="00447BAD">
        <w:rPr>
          <w:rFonts w:ascii="微軟正黑體" w:eastAsia="微軟正黑體" w:hAnsi="微軟正黑體"/>
          <w:color w:val="000000" w:themeColor="text1"/>
          <w:sz w:val="28"/>
          <w:szCs w:val="28"/>
        </w:rPr>
        <w:t>TF</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4</w:t>
      </w:r>
      <w:r w:rsidR="00447BAD">
        <w:rPr>
          <w:rFonts w:ascii="微軟正黑體" w:eastAsia="微軟正黑體" w:hAnsi="微軟正黑體"/>
          <w:color w:val="000000" w:themeColor="text1"/>
          <w:sz w:val="28"/>
          <w:szCs w:val="28"/>
        </w:rPr>
        <w:t>.79</w:t>
      </w:r>
      <w:r w:rsidR="00447BAD" w:rsidRPr="00D65B6C">
        <w:rPr>
          <w:rFonts w:ascii="微軟正黑體" w:eastAsia="微軟正黑體" w:hAnsi="微軟正黑體" w:hint="eastAsia"/>
          <w:color w:val="000000" w:themeColor="text1"/>
          <w:sz w:val="28"/>
          <w:szCs w:val="28"/>
        </w:rPr>
        <w:t>%）</w:t>
      </w:r>
      <w:r w:rsidR="00447BAD">
        <w:rPr>
          <w:rFonts w:ascii="微軟正黑體" w:eastAsia="微軟正黑體" w:hAnsi="微軟正黑體" w:hint="eastAsia"/>
          <w:color w:val="000000" w:themeColor="text1"/>
          <w:sz w:val="28"/>
          <w:szCs w:val="28"/>
        </w:rPr>
        <w:t>雖然相對不如其他地區，但至少是正報酬且較指數為佳</w:t>
      </w:r>
      <w:r w:rsidR="00447BAD" w:rsidRPr="00D65B6C">
        <w:rPr>
          <w:rFonts w:ascii="微軟正黑體" w:eastAsia="微軟正黑體" w:hAnsi="微軟正黑體" w:hint="eastAsia"/>
          <w:color w:val="000000" w:themeColor="text1"/>
          <w:sz w:val="28"/>
          <w:szCs w:val="28"/>
        </w:rPr>
        <w:t>。</w:t>
      </w:r>
    </w:p>
    <w:p w14:paraId="0724F737" w14:textId="1D90FAEE" w:rsidR="00447BAD" w:rsidRDefault="00447BAD" w:rsidP="00447BAD">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台灣科技業年初以來受</w:t>
      </w:r>
      <w:proofErr w:type="spellStart"/>
      <w:r>
        <w:rPr>
          <w:rFonts w:ascii="微軟正黑體" w:eastAsia="微軟正黑體" w:hAnsi="微軟正黑體" w:hint="eastAsia"/>
          <w:color w:val="000000" w:themeColor="text1"/>
          <w:sz w:val="28"/>
          <w:szCs w:val="28"/>
        </w:rPr>
        <w:t>C</w:t>
      </w:r>
      <w:r>
        <w:rPr>
          <w:rFonts w:ascii="微軟正黑體" w:eastAsia="微軟正黑體" w:hAnsi="微軟正黑體"/>
          <w:color w:val="000000" w:themeColor="text1"/>
          <w:sz w:val="28"/>
          <w:szCs w:val="28"/>
        </w:rPr>
        <w:t>hatGPT</w:t>
      </w:r>
      <w:proofErr w:type="spellEnd"/>
      <w:proofErr w:type="gramStart"/>
      <w:r>
        <w:rPr>
          <w:rFonts w:ascii="微軟正黑體" w:eastAsia="微軟正黑體" w:hAnsi="微軟正黑體" w:hint="eastAsia"/>
          <w:color w:val="000000" w:themeColor="text1"/>
          <w:sz w:val="28"/>
          <w:szCs w:val="28"/>
        </w:rPr>
        <w:t>及輝達</w:t>
      </w:r>
      <w:proofErr w:type="gramEnd"/>
      <w:r>
        <w:rPr>
          <w:rFonts w:ascii="微軟正黑體" w:eastAsia="微軟正黑體" w:hAnsi="微軟正黑體" w:hint="eastAsia"/>
          <w:color w:val="000000" w:themeColor="text1"/>
          <w:sz w:val="28"/>
          <w:szCs w:val="28"/>
        </w:rPr>
        <w:t>所引燃的A</w:t>
      </w:r>
      <w:r>
        <w:rPr>
          <w:rFonts w:ascii="微軟正黑體" w:eastAsia="微軟正黑體" w:hAnsi="微軟正黑體"/>
          <w:color w:val="000000" w:themeColor="text1"/>
          <w:sz w:val="28"/>
          <w:szCs w:val="28"/>
        </w:rPr>
        <w:t>I</w:t>
      </w:r>
      <w:r>
        <w:rPr>
          <w:rFonts w:ascii="微軟正黑體" w:eastAsia="微軟正黑體" w:hAnsi="微軟正黑體" w:hint="eastAsia"/>
          <w:color w:val="000000" w:themeColor="text1"/>
          <w:sz w:val="28"/>
          <w:szCs w:val="28"/>
        </w:rPr>
        <w:t>熱潮帶動，相關供應鏈業績及股價均大幅成長</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6月台北電腦展</w:t>
      </w:r>
      <w:proofErr w:type="spellStart"/>
      <w:r>
        <w:rPr>
          <w:rFonts w:ascii="微軟正黑體" w:eastAsia="微軟正黑體" w:hAnsi="微軟正黑體" w:hint="eastAsia"/>
          <w:color w:val="000000" w:themeColor="text1"/>
          <w:sz w:val="28"/>
          <w:szCs w:val="28"/>
        </w:rPr>
        <w:t>C</w:t>
      </w:r>
      <w:r>
        <w:rPr>
          <w:rFonts w:ascii="微軟正黑體" w:eastAsia="微軟正黑體" w:hAnsi="微軟正黑體"/>
          <w:color w:val="000000" w:themeColor="text1"/>
          <w:sz w:val="28"/>
          <w:szCs w:val="28"/>
        </w:rPr>
        <w:t>omputex</w:t>
      </w:r>
      <w:proofErr w:type="spellEnd"/>
      <w:r>
        <w:rPr>
          <w:rFonts w:ascii="微軟正黑體" w:eastAsia="微軟正黑體" w:hAnsi="微軟正黑體" w:hint="eastAsia"/>
          <w:color w:val="000000" w:themeColor="text1"/>
          <w:sz w:val="28"/>
          <w:szCs w:val="28"/>
        </w:rPr>
        <w:t>科技業巨頭齊聚台北，特別是</w:t>
      </w:r>
      <w:proofErr w:type="gramStart"/>
      <w:r>
        <w:rPr>
          <w:rFonts w:ascii="微軟正黑體" w:eastAsia="微軟正黑體" w:hAnsi="微軟正黑體" w:hint="eastAsia"/>
          <w:color w:val="000000" w:themeColor="text1"/>
          <w:sz w:val="28"/>
          <w:szCs w:val="28"/>
        </w:rPr>
        <w:t>６</w:t>
      </w:r>
      <w:proofErr w:type="gramEnd"/>
      <w:r>
        <w:rPr>
          <w:rFonts w:ascii="微軟正黑體" w:eastAsia="微軟正黑體" w:hAnsi="微軟正黑體" w:hint="eastAsia"/>
          <w:color w:val="000000" w:themeColor="text1"/>
          <w:sz w:val="28"/>
          <w:szCs w:val="28"/>
        </w:rPr>
        <w:t>月２日黃仁勳在台大體育館的演講，將台灣供應鏈的價值推上高峰</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台積電A</w:t>
      </w:r>
      <w:r>
        <w:rPr>
          <w:rFonts w:ascii="微軟正黑體" w:eastAsia="微軟正黑體" w:hAnsi="微軟正黑體"/>
          <w:color w:val="000000" w:themeColor="text1"/>
          <w:sz w:val="28"/>
          <w:szCs w:val="28"/>
        </w:rPr>
        <w:t>I</w:t>
      </w:r>
      <w:r>
        <w:rPr>
          <w:rFonts w:ascii="微軟正黑體" w:eastAsia="微軟正黑體" w:hAnsi="微軟正黑體" w:hint="eastAsia"/>
          <w:color w:val="000000" w:themeColor="text1"/>
          <w:sz w:val="28"/>
          <w:szCs w:val="28"/>
        </w:rPr>
        <w:t>晶片先進製程供不應求，業績與獲利前景看好，6月28日股價來到966元，單月報酬率17.66%，上半年報酬率64.08%</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台灣加權股價報酬指數單月上漲9.28%，在國際股市中名列前茅，台灣50報酬指數單月上漲12.92%，電子報酬指數單月上漲12.</w:t>
      </w:r>
      <w:r w:rsidR="00F277B9">
        <w:rPr>
          <w:rFonts w:ascii="微軟正黑體" w:eastAsia="微軟正黑體" w:hAnsi="微軟正黑體" w:hint="eastAsia"/>
          <w:color w:val="000000" w:themeColor="text1"/>
          <w:sz w:val="28"/>
          <w:szCs w:val="28"/>
        </w:rPr>
        <w:t>6</w:t>
      </w:r>
      <w:r>
        <w:rPr>
          <w:rFonts w:ascii="微軟正黑體" w:eastAsia="微軟正黑體" w:hAnsi="微軟正黑體" w:hint="eastAsia"/>
          <w:color w:val="000000" w:themeColor="text1"/>
          <w:sz w:val="28"/>
          <w:szCs w:val="28"/>
        </w:rPr>
        <w:t>%，又優於台股大盤</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O</w:t>
      </w:r>
      <w:r>
        <w:rPr>
          <w:rFonts w:ascii="微軟正黑體" w:eastAsia="微軟正黑體" w:hAnsi="微軟正黑體"/>
          <w:color w:val="000000" w:themeColor="text1"/>
          <w:sz w:val="28"/>
          <w:szCs w:val="28"/>
        </w:rPr>
        <w:t>TC</w:t>
      </w:r>
      <w:r>
        <w:rPr>
          <w:rFonts w:ascii="微軟正黑體" w:eastAsia="微軟正黑體" w:hAnsi="微軟正黑體" w:hint="eastAsia"/>
          <w:color w:val="000000" w:themeColor="text1"/>
          <w:sz w:val="28"/>
          <w:szCs w:val="28"/>
        </w:rPr>
        <w:t>報酬指數上漲6.44%表現稍遜</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今年上半年台灣加權股價報酬指數大漲29.52%，台灣50報酬指數大漲40.41%，電子報酬指數大漲40.07%，在國際股市中</w:t>
      </w:r>
      <w:proofErr w:type="gramStart"/>
      <w:r>
        <w:rPr>
          <w:rFonts w:ascii="微軟正黑體" w:eastAsia="微軟正黑體" w:hAnsi="微軟正黑體" w:hint="eastAsia"/>
          <w:color w:val="000000" w:themeColor="text1"/>
          <w:sz w:val="28"/>
          <w:szCs w:val="28"/>
        </w:rPr>
        <w:t>艷</w:t>
      </w:r>
      <w:proofErr w:type="gramEnd"/>
      <w:r>
        <w:rPr>
          <w:rFonts w:ascii="微軟正黑體" w:eastAsia="微軟正黑體" w:hAnsi="微軟正黑體" w:hint="eastAsia"/>
          <w:color w:val="000000" w:themeColor="text1"/>
          <w:sz w:val="28"/>
          <w:szCs w:val="28"/>
        </w:rPr>
        <w:t>冠群芳</w:t>
      </w:r>
      <w:r w:rsidRPr="00D65B6C">
        <w:rPr>
          <w:rFonts w:ascii="微軟正黑體" w:eastAsia="微軟正黑體" w:hAnsi="微軟正黑體" w:hint="eastAsia"/>
          <w:color w:val="000000" w:themeColor="text1"/>
          <w:sz w:val="28"/>
          <w:szCs w:val="28"/>
        </w:rPr>
        <w:t>。</w:t>
      </w:r>
    </w:p>
    <w:p w14:paraId="69AE7820" w14:textId="1F5CA472" w:rsidR="00A6056C" w:rsidRDefault="00A6056C" w:rsidP="00171BF2">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253檔台股基金6月平均報酬率7.18%，除4檔</w:t>
      </w:r>
      <w:proofErr w:type="gramStart"/>
      <w:r>
        <w:rPr>
          <w:rFonts w:ascii="微軟正黑體" w:eastAsia="微軟正黑體" w:hAnsi="微軟正黑體" w:hint="eastAsia"/>
          <w:color w:val="000000" w:themeColor="text1"/>
          <w:sz w:val="28"/>
          <w:szCs w:val="28"/>
        </w:rPr>
        <w:t>反向型</w:t>
      </w:r>
      <w:proofErr w:type="gramEnd"/>
      <w:r>
        <w:rPr>
          <w:rFonts w:ascii="微軟正黑體" w:eastAsia="微軟正黑體" w:hAnsi="微軟正黑體" w:hint="eastAsia"/>
          <w:color w:val="000000" w:themeColor="text1"/>
          <w:sz w:val="28"/>
          <w:szCs w:val="28"/>
        </w:rPr>
        <w:t>E</w:t>
      </w:r>
      <w:r>
        <w:rPr>
          <w:rFonts w:ascii="微軟正黑體" w:eastAsia="微軟正黑體" w:hAnsi="微軟正黑體"/>
          <w:color w:val="000000" w:themeColor="text1"/>
          <w:sz w:val="28"/>
          <w:szCs w:val="28"/>
        </w:rPr>
        <w:t>TF</w:t>
      </w:r>
      <w:r>
        <w:rPr>
          <w:rFonts w:ascii="微軟正黑體" w:eastAsia="微軟正黑體" w:hAnsi="微軟正黑體" w:hint="eastAsia"/>
          <w:color w:val="000000" w:themeColor="text1"/>
          <w:sz w:val="28"/>
          <w:szCs w:val="28"/>
        </w:rPr>
        <w:t>外皆為正報酬，但僅有59檔（占比23.32%）打敗大盤</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各子類平均報酬率多在7%上下，差距不大</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上半年240檔台股基金平均報酬率22.69%，輸給大盤6.83%，僅46檔（占比19.17%）贏過大盤，2</w:t>
      </w:r>
      <w:r>
        <w:rPr>
          <w:rFonts w:ascii="微軟正黑體" w:eastAsia="微軟正黑體" w:hAnsi="微軟正黑體"/>
          <w:color w:val="000000" w:themeColor="text1"/>
          <w:sz w:val="28"/>
          <w:szCs w:val="28"/>
        </w:rPr>
        <w:t>35</w:t>
      </w:r>
      <w:r>
        <w:rPr>
          <w:rFonts w:ascii="微軟正黑體" w:eastAsia="微軟正黑體" w:hAnsi="微軟正黑體" w:hint="eastAsia"/>
          <w:color w:val="000000" w:themeColor="text1"/>
          <w:sz w:val="28"/>
          <w:szCs w:val="28"/>
        </w:rPr>
        <w:t>檔（占比97.92%）正報酬</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各子類報酬率（槓桿反向除外）依序為</w:t>
      </w:r>
      <w:r>
        <w:rPr>
          <w:rFonts w:ascii="微軟正黑體" w:eastAsia="微軟正黑體" w:hAnsi="微軟正黑體" w:hint="eastAsia"/>
          <w:color w:val="000000" w:themeColor="text1"/>
          <w:sz w:val="28"/>
          <w:szCs w:val="28"/>
        </w:rPr>
        <w:lastRenderedPageBreak/>
        <w:t>中</w:t>
      </w:r>
      <w:proofErr w:type="gramStart"/>
      <w:r>
        <w:rPr>
          <w:rFonts w:ascii="微軟正黑體" w:eastAsia="微軟正黑體" w:hAnsi="微軟正黑體" w:hint="eastAsia"/>
          <w:color w:val="000000" w:themeColor="text1"/>
          <w:sz w:val="28"/>
          <w:szCs w:val="28"/>
        </w:rPr>
        <w:t>概股型</w:t>
      </w:r>
      <w:proofErr w:type="gramEnd"/>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26.33</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價值型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25.66</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指數型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非ETF，2</w:t>
      </w:r>
      <w:r>
        <w:rPr>
          <w:rFonts w:ascii="微軟正黑體" w:eastAsia="微軟正黑體" w:hAnsi="微軟正黑體"/>
          <w:color w:val="000000" w:themeColor="text1"/>
          <w:sz w:val="28"/>
          <w:szCs w:val="28"/>
        </w:rPr>
        <w:t>5.24</w:t>
      </w:r>
      <w:r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一般型E</w:t>
      </w:r>
      <w:r w:rsidR="00316D79">
        <w:rPr>
          <w:rFonts w:ascii="微軟正黑體" w:eastAsia="微軟正黑體" w:hAnsi="微軟正黑體"/>
          <w:color w:val="000000" w:themeColor="text1"/>
          <w:sz w:val="28"/>
          <w:szCs w:val="28"/>
        </w:rPr>
        <w:t>TF</w:t>
      </w:r>
      <w:r w:rsidR="00316D79"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2</w:t>
      </w:r>
      <w:r w:rsidR="00316D79">
        <w:rPr>
          <w:rFonts w:ascii="微軟正黑體" w:eastAsia="微軟正黑體" w:hAnsi="微軟正黑體"/>
          <w:color w:val="000000" w:themeColor="text1"/>
          <w:sz w:val="28"/>
          <w:szCs w:val="28"/>
        </w:rPr>
        <w:t>5</w:t>
      </w:r>
      <w:r w:rsidR="00316D79">
        <w:rPr>
          <w:rFonts w:ascii="微軟正黑體" w:eastAsia="微軟正黑體" w:hAnsi="微軟正黑體" w:hint="eastAsia"/>
          <w:color w:val="000000" w:themeColor="text1"/>
          <w:sz w:val="28"/>
          <w:szCs w:val="28"/>
        </w:rPr>
        <w:t>.</w:t>
      </w:r>
      <w:r w:rsidR="00316D79">
        <w:rPr>
          <w:rFonts w:ascii="微軟正黑體" w:eastAsia="微軟正黑體" w:hAnsi="微軟正黑體"/>
          <w:color w:val="000000" w:themeColor="text1"/>
          <w:sz w:val="28"/>
          <w:szCs w:val="28"/>
        </w:rPr>
        <w:t>17</w:t>
      </w:r>
      <w:r w:rsidR="00316D79"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中小型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22.64</w:t>
      </w:r>
      <w:r w:rsidRPr="00D65B6C">
        <w:rPr>
          <w:rFonts w:ascii="微軟正黑體" w:eastAsia="微軟正黑體" w:hAnsi="微軟正黑體" w:hint="eastAsia"/>
          <w:color w:val="000000" w:themeColor="text1"/>
          <w:sz w:val="28"/>
          <w:szCs w:val="28"/>
        </w:rPr>
        <w:t>%）、</w:t>
      </w:r>
      <w:r w:rsidR="0069063F" w:rsidRPr="00690C2F">
        <w:rPr>
          <w:rFonts w:ascii="微軟正黑體" w:eastAsia="微軟正黑體" w:hAnsi="微軟正黑體" w:hint="eastAsia"/>
          <w:color w:val="000000" w:themeColor="text1"/>
          <w:sz w:val="28"/>
          <w:szCs w:val="28"/>
        </w:rPr>
        <w:t>上櫃股票</w:t>
      </w:r>
      <w:r w:rsidR="00F277B9" w:rsidRPr="00690C2F">
        <w:rPr>
          <w:rFonts w:ascii="微軟正黑體" w:eastAsia="微軟正黑體" w:hAnsi="微軟正黑體" w:hint="eastAsia"/>
          <w:color w:val="000000" w:themeColor="text1"/>
          <w:sz w:val="28"/>
          <w:szCs w:val="28"/>
        </w:rPr>
        <w:t>型（22.4</w:t>
      </w:r>
      <w:r w:rsidR="0069063F" w:rsidRPr="00690C2F">
        <w:rPr>
          <w:rFonts w:ascii="微軟正黑體" w:eastAsia="微軟正黑體" w:hAnsi="微軟正黑體" w:hint="eastAsia"/>
          <w:color w:val="000000" w:themeColor="text1"/>
          <w:sz w:val="28"/>
          <w:szCs w:val="28"/>
        </w:rPr>
        <w:t>1</w:t>
      </w:r>
      <w:r w:rsidR="00F277B9" w:rsidRPr="00690C2F">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一般股票型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21.</w:t>
      </w:r>
      <w:r w:rsidR="00316D79">
        <w:rPr>
          <w:rFonts w:ascii="微軟正黑體" w:eastAsia="微軟正黑體" w:hAnsi="微軟正黑體"/>
          <w:color w:val="000000" w:themeColor="text1"/>
          <w:sz w:val="28"/>
          <w:szCs w:val="28"/>
        </w:rPr>
        <w:t>8</w:t>
      </w:r>
      <w:r>
        <w:rPr>
          <w:rFonts w:ascii="微軟正黑體" w:eastAsia="微軟正黑體" w:hAnsi="微軟正黑體" w:hint="eastAsia"/>
          <w:color w:val="000000" w:themeColor="text1"/>
          <w:sz w:val="28"/>
          <w:szCs w:val="28"/>
        </w:rPr>
        <w:t>9</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科技類</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20.83</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在電子指數超越大盤時科技類主動型基金績效反而敬陪末座，毋寧是個奇怪的現象</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證券投資信託基金管理辦法第10條第八項規定：</w:t>
      </w:r>
      <w:r w:rsidRPr="00316D79">
        <w:rPr>
          <w:rFonts w:ascii="微軟正黑體" w:eastAsia="微軟正黑體" w:hAnsi="微軟正黑體" w:hint="eastAsia"/>
          <w:color w:val="000000" w:themeColor="text1"/>
          <w:sz w:val="28"/>
          <w:szCs w:val="28"/>
        </w:rPr>
        <w:t>「每一基金投資於任一上市或上櫃公司股票及公司債或金融債券之總金額</w:t>
      </w:r>
      <w:r w:rsidR="00316D79">
        <w:rPr>
          <w:rFonts w:ascii="微軟正黑體" w:eastAsia="微軟正黑體" w:hAnsi="微軟正黑體" w:hint="eastAsia"/>
          <w:color w:val="000000" w:themeColor="text1"/>
          <w:sz w:val="28"/>
          <w:szCs w:val="28"/>
        </w:rPr>
        <w:t>，</w:t>
      </w:r>
      <w:r w:rsidRPr="00316D79">
        <w:rPr>
          <w:rFonts w:ascii="微軟正黑體" w:eastAsia="微軟正黑體" w:hAnsi="微軟正黑體" w:hint="eastAsia"/>
          <w:color w:val="000000" w:themeColor="text1"/>
          <w:sz w:val="28"/>
          <w:szCs w:val="28"/>
        </w:rPr>
        <w:t>不得超過本基金淨資產價值之百分之十。」原本是不希望共同基金風險集中於單一公司，立意良善，但面臨台積電占台股權重超過三成的現實狀況，主動型基金</w:t>
      </w:r>
      <w:r w:rsidR="00C60E46" w:rsidRPr="00316D79">
        <w:rPr>
          <w:rFonts w:ascii="微軟正黑體" w:eastAsia="微軟正黑體" w:hAnsi="微軟正黑體" w:hint="eastAsia"/>
          <w:color w:val="000000" w:themeColor="text1"/>
          <w:sz w:val="28"/>
          <w:szCs w:val="28"/>
        </w:rPr>
        <w:t>想要打敗或跟隨大盤，變成非常困難。</w:t>
      </w:r>
      <w:r w:rsidR="00C60E46">
        <w:rPr>
          <w:rFonts w:ascii="微軟正黑體" w:eastAsia="微軟正黑體" w:hAnsi="微軟正黑體" w:hint="eastAsia"/>
          <w:color w:val="000000" w:themeColor="text1"/>
          <w:sz w:val="28"/>
          <w:szCs w:val="28"/>
        </w:rPr>
        <w:t>上半年台積電占台股權重從1月底的28.8%一路上升到6月底的34.4%，各月平均為31.5</w:t>
      </w:r>
      <w:r w:rsidRPr="00D65B6C">
        <w:rPr>
          <w:rFonts w:ascii="微軟正黑體" w:eastAsia="微軟正黑體" w:hAnsi="微軟正黑體" w:hint="eastAsia"/>
          <w:color w:val="000000" w:themeColor="text1"/>
          <w:sz w:val="28"/>
          <w:szCs w:val="28"/>
        </w:rPr>
        <w:t>%</w:t>
      </w:r>
      <w:r w:rsidR="00C60E46" w:rsidRPr="00D65B6C">
        <w:rPr>
          <w:rFonts w:ascii="微軟正黑體" w:eastAsia="微軟正黑體" w:hAnsi="微軟正黑體" w:hint="eastAsia"/>
          <w:color w:val="000000" w:themeColor="text1"/>
          <w:sz w:val="28"/>
          <w:szCs w:val="28"/>
        </w:rPr>
        <w:t>。</w:t>
      </w:r>
      <w:r w:rsidR="00C60E46">
        <w:rPr>
          <w:rFonts w:ascii="微軟正黑體" w:eastAsia="微軟正黑體" w:hAnsi="微軟正黑體" w:hint="eastAsia"/>
          <w:color w:val="000000" w:themeColor="text1"/>
          <w:sz w:val="28"/>
          <w:szCs w:val="28"/>
        </w:rPr>
        <w:t>台股大盤上半年上漲29.52%，其中台積電貢獻了20.19%（6</w:t>
      </w:r>
      <w:r w:rsidR="00211822">
        <w:rPr>
          <w:rFonts w:ascii="微軟正黑體" w:eastAsia="微軟正黑體" w:hAnsi="微軟正黑體" w:hint="eastAsia"/>
          <w:color w:val="000000" w:themeColor="text1"/>
          <w:sz w:val="28"/>
          <w:szCs w:val="28"/>
        </w:rPr>
        <w:t>4</w:t>
      </w:r>
      <w:r w:rsidR="00C60E46">
        <w:rPr>
          <w:rFonts w:ascii="微軟正黑體" w:eastAsia="微軟正黑體" w:hAnsi="微軟正黑體" w:hint="eastAsia"/>
          <w:color w:val="000000" w:themeColor="text1"/>
          <w:sz w:val="28"/>
          <w:szCs w:val="28"/>
        </w:rPr>
        <w:t>.08%</w:t>
      </w:r>
      <w:r w:rsidR="00C60E46">
        <w:rPr>
          <w:rFonts w:ascii="微軟正黑體" w:eastAsia="微軟正黑體" w:hAnsi="微軟正黑體"/>
          <w:color w:val="000000" w:themeColor="text1"/>
          <w:sz w:val="28"/>
          <w:szCs w:val="28"/>
        </w:rPr>
        <w:t xml:space="preserve"> x 31.5%</w:t>
      </w:r>
      <w:r w:rsidR="00C60E46">
        <w:rPr>
          <w:rFonts w:ascii="微軟正黑體" w:eastAsia="微軟正黑體" w:hAnsi="微軟正黑體" w:hint="eastAsia"/>
          <w:color w:val="000000" w:themeColor="text1"/>
          <w:sz w:val="28"/>
          <w:szCs w:val="28"/>
        </w:rPr>
        <w:t>），其他股票僅貢獻9.33%，換算其他股票平均報酬率</w:t>
      </w:r>
      <w:r w:rsidR="00316D79">
        <w:rPr>
          <w:rFonts w:ascii="微軟正黑體" w:eastAsia="微軟正黑體" w:hAnsi="微軟正黑體" w:hint="eastAsia"/>
          <w:color w:val="000000" w:themeColor="text1"/>
          <w:sz w:val="28"/>
          <w:szCs w:val="28"/>
        </w:rPr>
        <w:t>1</w:t>
      </w:r>
      <w:r w:rsidR="00316D79">
        <w:rPr>
          <w:rFonts w:ascii="微軟正黑體" w:eastAsia="微軟正黑體" w:hAnsi="微軟正黑體"/>
          <w:color w:val="000000" w:themeColor="text1"/>
          <w:sz w:val="28"/>
          <w:szCs w:val="28"/>
        </w:rPr>
        <w:t>3.62%</w:t>
      </w:r>
      <w:r w:rsidR="00316D79">
        <w:rPr>
          <w:rFonts w:ascii="微軟正黑體" w:eastAsia="微軟正黑體" w:hAnsi="微軟正黑體" w:hint="eastAsia"/>
          <w:color w:val="000000" w:themeColor="text1"/>
          <w:sz w:val="28"/>
          <w:szCs w:val="28"/>
        </w:rPr>
        <w:t>（</w:t>
      </w:r>
      <w:r w:rsidR="00316D79">
        <w:rPr>
          <w:rFonts w:ascii="微軟正黑體" w:eastAsia="微軟正黑體" w:hAnsi="微軟正黑體"/>
          <w:color w:val="000000" w:themeColor="text1"/>
          <w:sz w:val="28"/>
          <w:szCs w:val="28"/>
        </w:rPr>
        <w:t>9.33</w:t>
      </w:r>
      <w:r w:rsidR="00316D79">
        <w:rPr>
          <w:rFonts w:ascii="微軟正黑體" w:eastAsia="微軟正黑體" w:hAnsi="微軟正黑體" w:hint="eastAsia"/>
          <w:color w:val="000000" w:themeColor="text1"/>
          <w:sz w:val="28"/>
          <w:szCs w:val="28"/>
        </w:rPr>
        <w:t>%</w:t>
      </w:r>
      <w:r w:rsidR="00316D79" w:rsidRPr="00316D79">
        <w:rPr>
          <w:rFonts w:ascii="微軟正黑體" w:eastAsia="微軟正黑體" w:hAnsi="微軟正黑體" w:hint="eastAsia"/>
          <w:color w:val="000000" w:themeColor="text1"/>
          <w:sz w:val="28"/>
          <w:szCs w:val="28"/>
        </w:rPr>
        <w:t>÷</w:t>
      </w:r>
      <w:r w:rsidR="00316D79">
        <w:rPr>
          <w:rFonts w:ascii="微軟正黑體" w:eastAsia="微軟正黑體" w:hAnsi="微軟正黑體"/>
          <w:color w:val="000000" w:themeColor="text1"/>
          <w:sz w:val="28"/>
          <w:szCs w:val="28"/>
        </w:rPr>
        <w:t>(1-31.5%)</w:t>
      </w:r>
      <w:r w:rsidR="00316D79">
        <w:rPr>
          <w:rFonts w:ascii="微軟正黑體" w:eastAsia="微軟正黑體" w:hAnsi="微軟正黑體" w:hint="eastAsia"/>
          <w:color w:val="000000" w:themeColor="text1"/>
          <w:sz w:val="28"/>
          <w:szCs w:val="28"/>
        </w:rPr>
        <w:t>）</w:t>
      </w:r>
      <w:r w:rsidR="00316D79"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持有台積電與持有其他股票</w:t>
      </w:r>
      <w:proofErr w:type="gramStart"/>
      <w:r w:rsidR="00316D79">
        <w:rPr>
          <w:rFonts w:ascii="微軟正黑體" w:eastAsia="微軟正黑體" w:hAnsi="微軟正黑體" w:hint="eastAsia"/>
          <w:color w:val="000000" w:themeColor="text1"/>
          <w:sz w:val="28"/>
          <w:szCs w:val="28"/>
        </w:rPr>
        <w:t>上半年差了</w:t>
      </w:r>
      <w:proofErr w:type="gramEnd"/>
      <w:r w:rsidR="00316D79">
        <w:rPr>
          <w:rFonts w:ascii="微軟正黑體" w:eastAsia="微軟正黑體" w:hAnsi="微軟正黑體" w:hint="eastAsia"/>
          <w:color w:val="000000" w:themeColor="text1"/>
          <w:sz w:val="28"/>
          <w:szCs w:val="28"/>
        </w:rPr>
        <w:t>50.46%（64.08%-13.62%），主動型基金因為法規因素較大盤少持有21.5%台積電（3</w:t>
      </w:r>
      <w:r w:rsidR="00316D79">
        <w:rPr>
          <w:rFonts w:ascii="微軟正黑體" w:eastAsia="微軟正黑體" w:hAnsi="微軟正黑體"/>
          <w:color w:val="000000" w:themeColor="text1"/>
          <w:sz w:val="28"/>
          <w:szCs w:val="28"/>
        </w:rPr>
        <w:t>1.5%-10%</w:t>
      </w:r>
      <w:r w:rsidR="00316D79">
        <w:rPr>
          <w:rFonts w:ascii="微軟正黑體" w:eastAsia="微軟正黑體" w:hAnsi="微軟正黑體" w:hint="eastAsia"/>
          <w:color w:val="000000" w:themeColor="text1"/>
          <w:sz w:val="28"/>
          <w:szCs w:val="28"/>
        </w:rPr>
        <w:t>），代價是報酬率減少10.85%（2</w:t>
      </w:r>
      <w:r w:rsidR="00316D79">
        <w:rPr>
          <w:rFonts w:ascii="微軟正黑體" w:eastAsia="微軟正黑體" w:hAnsi="微軟正黑體"/>
          <w:color w:val="000000" w:themeColor="text1"/>
          <w:sz w:val="28"/>
          <w:szCs w:val="28"/>
        </w:rPr>
        <w:t>1.5% x 50.46%</w:t>
      </w:r>
      <w:r w:rsidR="00316D79">
        <w:rPr>
          <w:rFonts w:ascii="微軟正黑體" w:eastAsia="微軟正黑體" w:hAnsi="微軟正黑體" w:hint="eastAsia"/>
          <w:color w:val="000000" w:themeColor="text1"/>
          <w:sz w:val="28"/>
          <w:szCs w:val="28"/>
        </w:rPr>
        <w:t>）</w:t>
      </w:r>
      <w:r w:rsidR="00316D79"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台股主動型基金上半年嚴重落後大盤，可謂非戰之罪</w:t>
      </w:r>
      <w:r w:rsidR="00316D79"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台股E</w:t>
      </w:r>
      <w:r w:rsidR="00316D79">
        <w:rPr>
          <w:rFonts w:ascii="微軟正黑體" w:eastAsia="微軟正黑體" w:hAnsi="微軟正黑體"/>
          <w:color w:val="000000" w:themeColor="text1"/>
          <w:sz w:val="28"/>
          <w:szCs w:val="28"/>
        </w:rPr>
        <w:t>TF</w:t>
      </w:r>
      <w:r w:rsidR="00316D79">
        <w:rPr>
          <w:rFonts w:ascii="微軟正黑體" w:eastAsia="微軟正黑體" w:hAnsi="微軟正黑體" w:hint="eastAsia"/>
          <w:color w:val="000000" w:themeColor="text1"/>
          <w:sz w:val="28"/>
          <w:szCs w:val="28"/>
        </w:rPr>
        <w:t>可依其標竿指數中個股比重投資，不受10%上限規範</w:t>
      </w:r>
      <w:r w:rsidR="00316D79"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上半年台股基金（槓桿及反向型除外）績效第一名的富邦台灣科技指數E</w:t>
      </w:r>
      <w:r w:rsidR="00316D79">
        <w:rPr>
          <w:rFonts w:ascii="微軟正黑體" w:eastAsia="微軟正黑體" w:hAnsi="微軟正黑體"/>
          <w:color w:val="000000" w:themeColor="text1"/>
          <w:sz w:val="28"/>
          <w:szCs w:val="28"/>
        </w:rPr>
        <w:t>TF</w:t>
      </w:r>
      <w:r w:rsidR="00316D79"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4</w:t>
      </w:r>
      <w:r w:rsidR="00316D79">
        <w:rPr>
          <w:rFonts w:ascii="微軟正黑體" w:eastAsia="微軟正黑體" w:hAnsi="微軟正黑體"/>
          <w:color w:val="000000" w:themeColor="text1"/>
          <w:sz w:val="28"/>
          <w:szCs w:val="28"/>
        </w:rPr>
        <w:t>7.57</w:t>
      </w:r>
      <w:r w:rsidR="00316D79"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其台積電持股比重高達62%</w:t>
      </w:r>
      <w:r w:rsidR="00316D79"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前10名基金除富邦基</w:t>
      </w:r>
      <w:r w:rsidR="00316D79">
        <w:rPr>
          <w:rFonts w:ascii="微軟正黑體" w:eastAsia="微軟正黑體" w:hAnsi="微軟正黑體" w:hint="eastAsia"/>
          <w:color w:val="000000" w:themeColor="text1"/>
          <w:sz w:val="28"/>
          <w:szCs w:val="28"/>
        </w:rPr>
        <w:lastRenderedPageBreak/>
        <w:t>金I類型與富邦基金為主動型基金外，其餘８名皆為</w:t>
      </w:r>
      <w:r w:rsidR="00316D79">
        <w:rPr>
          <w:rFonts w:ascii="微軟正黑體" w:eastAsia="微軟正黑體" w:hAnsi="微軟正黑體"/>
          <w:color w:val="000000" w:themeColor="text1"/>
          <w:sz w:val="28"/>
          <w:szCs w:val="28"/>
        </w:rPr>
        <w:t>ETF</w:t>
      </w:r>
      <w:r w:rsidR="00316D79">
        <w:rPr>
          <w:rFonts w:ascii="微軟正黑體" w:eastAsia="微軟正黑體" w:hAnsi="微軟正黑體" w:hint="eastAsia"/>
          <w:color w:val="000000" w:themeColor="text1"/>
          <w:sz w:val="28"/>
          <w:szCs w:val="28"/>
        </w:rPr>
        <w:t>或E</w:t>
      </w:r>
      <w:r w:rsidR="00316D79">
        <w:rPr>
          <w:rFonts w:ascii="微軟正黑體" w:eastAsia="微軟正黑體" w:hAnsi="微軟正黑體"/>
          <w:color w:val="000000" w:themeColor="text1"/>
          <w:sz w:val="28"/>
          <w:szCs w:val="28"/>
        </w:rPr>
        <w:t>TF</w:t>
      </w:r>
      <w:r w:rsidR="00316D79">
        <w:rPr>
          <w:rFonts w:ascii="微軟正黑體" w:eastAsia="微軟正黑體" w:hAnsi="微軟正黑體" w:hint="eastAsia"/>
          <w:color w:val="000000" w:themeColor="text1"/>
          <w:sz w:val="28"/>
          <w:szCs w:val="28"/>
        </w:rPr>
        <w:t>連結基金</w:t>
      </w:r>
      <w:r w:rsidR="00316D79" w:rsidRPr="00D65B6C">
        <w:rPr>
          <w:rFonts w:ascii="微軟正黑體" w:eastAsia="微軟正黑體" w:hAnsi="微軟正黑體" w:hint="eastAsia"/>
          <w:color w:val="000000" w:themeColor="text1"/>
          <w:sz w:val="28"/>
          <w:szCs w:val="28"/>
        </w:rPr>
        <w:t>。</w:t>
      </w:r>
      <w:r w:rsidR="00316D79">
        <w:rPr>
          <w:rFonts w:ascii="微軟正黑體" w:eastAsia="微軟正黑體" w:hAnsi="微軟正黑體" w:hint="eastAsia"/>
          <w:color w:val="000000" w:themeColor="text1"/>
          <w:sz w:val="28"/>
          <w:szCs w:val="28"/>
        </w:rPr>
        <w:t>然而48檔一般型E</w:t>
      </w:r>
      <w:r w:rsidR="00316D79">
        <w:rPr>
          <w:rFonts w:ascii="微軟正黑體" w:eastAsia="微軟正黑體" w:hAnsi="微軟正黑體"/>
          <w:color w:val="000000" w:themeColor="text1"/>
          <w:sz w:val="28"/>
          <w:szCs w:val="28"/>
        </w:rPr>
        <w:t>TF</w:t>
      </w:r>
      <w:r w:rsidR="00316D79">
        <w:rPr>
          <w:rFonts w:ascii="微軟正黑體" w:eastAsia="微軟正黑體" w:hAnsi="微軟正黑體" w:hint="eastAsia"/>
          <w:color w:val="000000" w:themeColor="text1"/>
          <w:sz w:val="28"/>
          <w:szCs w:val="28"/>
        </w:rPr>
        <w:t>也只有15檔（多為市值型E</w:t>
      </w:r>
      <w:r w:rsidR="00316D79">
        <w:rPr>
          <w:rFonts w:ascii="微軟正黑體" w:eastAsia="微軟正黑體" w:hAnsi="微軟正黑體"/>
          <w:color w:val="000000" w:themeColor="text1"/>
          <w:sz w:val="28"/>
          <w:szCs w:val="28"/>
        </w:rPr>
        <w:t>TF</w:t>
      </w:r>
      <w:r w:rsidR="00316D79">
        <w:rPr>
          <w:rFonts w:ascii="微軟正黑體" w:eastAsia="微軟正黑體" w:hAnsi="微軟正黑體" w:hint="eastAsia"/>
          <w:color w:val="000000" w:themeColor="text1"/>
          <w:sz w:val="28"/>
          <w:szCs w:val="28"/>
        </w:rPr>
        <w:t>）打敗大盤，可見E</w:t>
      </w:r>
      <w:r w:rsidR="00316D79">
        <w:rPr>
          <w:rFonts w:ascii="微軟正黑體" w:eastAsia="微軟正黑體" w:hAnsi="微軟正黑體"/>
          <w:color w:val="000000" w:themeColor="text1"/>
          <w:sz w:val="28"/>
          <w:szCs w:val="28"/>
        </w:rPr>
        <w:t>TF</w:t>
      </w:r>
      <w:r w:rsidR="00316D79">
        <w:rPr>
          <w:rFonts w:ascii="微軟正黑體" w:eastAsia="微軟正黑體" w:hAnsi="微軟正黑體" w:hint="eastAsia"/>
          <w:color w:val="000000" w:themeColor="text1"/>
          <w:sz w:val="28"/>
          <w:szCs w:val="28"/>
        </w:rPr>
        <w:t>依其追蹤指數不同，績效也可能有相當大差異</w:t>
      </w:r>
      <w:r w:rsidR="00316D79" w:rsidRPr="00D65B6C">
        <w:rPr>
          <w:rFonts w:ascii="微軟正黑體" w:eastAsia="微軟正黑體" w:hAnsi="微軟正黑體" w:hint="eastAsia"/>
          <w:color w:val="000000" w:themeColor="text1"/>
          <w:sz w:val="28"/>
          <w:szCs w:val="28"/>
        </w:rPr>
        <w:t>。</w:t>
      </w:r>
    </w:p>
    <w:p w14:paraId="0B76E621" w14:textId="176FEF93" w:rsidR="00171BF2" w:rsidRDefault="00316D79" w:rsidP="00171BF2">
      <w:pPr>
        <w:spacing w:beforeLines="50" w:before="180" w:afterLines="50" w:after="180"/>
        <w:ind w:firstLineChars="200" w:firstLine="560"/>
        <w:jc w:val="both"/>
        <w:rPr>
          <w:rFonts w:ascii="微軟正黑體" w:eastAsia="微軟正黑體" w:hAnsi="微軟正黑體"/>
          <w:color w:val="000000" w:themeColor="text1"/>
          <w:sz w:val="28"/>
          <w:szCs w:val="28"/>
        </w:rPr>
      </w:pPr>
      <w:proofErr w:type="gramStart"/>
      <w:r>
        <w:rPr>
          <w:rFonts w:ascii="微軟正黑體" w:eastAsia="微軟正黑體" w:hAnsi="微軟正黑體" w:hint="eastAsia"/>
          <w:color w:val="000000" w:themeColor="text1"/>
          <w:sz w:val="28"/>
          <w:szCs w:val="28"/>
        </w:rPr>
        <w:t>６</w:t>
      </w:r>
      <w:proofErr w:type="gramEnd"/>
      <w:r>
        <w:rPr>
          <w:rFonts w:ascii="微軟正黑體" w:eastAsia="微軟正黑體" w:hAnsi="微軟正黑體" w:hint="eastAsia"/>
          <w:color w:val="000000" w:themeColor="text1"/>
          <w:sz w:val="28"/>
          <w:szCs w:val="28"/>
        </w:rPr>
        <w:t>月美國公債殖利率略降，E</w:t>
      </w:r>
      <w:r>
        <w:rPr>
          <w:rFonts w:ascii="微軟正黑體" w:eastAsia="微軟正黑體" w:hAnsi="微軟正黑體"/>
          <w:color w:val="000000" w:themeColor="text1"/>
          <w:sz w:val="28"/>
          <w:szCs w:val="28"/>
        </w:rPr>
        <w:t>CB</w:t>
      </w:r>
      <w:r>
        <w:rPr>
          <w:rFonts w:ascii="微軟正黑體" w:eastAsia="微軟正黑體" w:hAnsi="微軟正黑體" w:hint="eastAsia"/>
          <w:color w:val="000000" w:themeColor="text1"/>
          <w:sz w:val="28"/>
          <w:szCs w:val="28"/>
        </w:rPr>
        <w:t>降息1碼，債券型基金多為正報酬，</w:t>
      </w:r>
      <w:proofErr w:type="gramStart"/>
      <w:r>
        <w:rPr>
          <w:rFonts w:ascii="微軟正黑體" w:eastAsia="微軟正黑體" w:hAnsi="微軟正黑體" w:hint="eastAsia"/>
          <w:color w:val="000000" w:themeColor="text1"/>
          <w:sz w:val="28"/>
          <w:szCs w:val="28"/>
        </w:rPr>
        <w:t>唯各</w:t>
      </w:r>
      <w:proofErr w:type="gramEnd"/>
      <w:r>
        <w:rPr>
          <w:rFonts w:ascii="微軟正黑體" w:eastAsia="微軟正黑體" w:hAnsi="微軟正黑體" w:hint="eastAsia"/>
          <w:color w:val="000000" w:themeColor="text1"/>
          <w:sz w:val="28"/>
          <w:szCs w:val="28"/>
        </w:rPr>
        <w:t>子類平均報酬率皆小於1%</w:t>
      </w:r>
      <w:r w:rsidR="009A50B3">
        <w:rPr>
          <w:rFonts w:ascii="微軟正黑體" w:eastAsia="微軟正黑體" w:hAnsi="微軟正黑體" w:hint="eastAsia"/>
          <w:color w:val="000000" w:themeColor="text1"/>
          <w:sz w:val="28"/>
          <w:szCs w:val="28"/>
        </w:rPr>
        <w:t>（槓反除外）</w:t>
      </w:r>
      <w:r w:rsidR="0051364E"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上半年債券型基金報酬率大多為正，而非投資等級債又較投資等級債為佳，例如亞洲非投資等級債</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全7.</w:t>
      </w:r>
      <w:r w:rsidR="00CC40A1">
        <w:rPr>
          <w:rFonts w:ascii="微軟正黑體" w:eastAsia="微軟正黑體" w:hAnsi="微軟正黑體" w:hint="eastAsia"/>
          <w:color w:val="000000" w:themeColor="text1"/>
          <w:sz w:val="28"/>
          <w:szCs w:val="28"/>
        </w:rPr>
        <w:t>51</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，台8.9</w:t>
      </w:r>
      <w:r w:rsidR="00CC40A1">
        <w:rPr>
          <w:rFonts w:ascii="微軟正黑體" w:eastAsia="微軟正黑體" w:hAnsi="微軟正黑體" w:hint="eastAsia"/>
          <w:color w:val="000000" w:themeColor="text1"/>
          <w:sz w:val="28"/>
          <w:szCs w:val="28"/>
        </w:rPr>
        <w:t>4</w:t>
      </w:r>
      <w:r w:rsidR="009A50B3">
        <w:rPr>
          <w:rFonts w:ascii="微軟正黑體" w:eastAsia="微軟正黑體" w:hAnsi="微軟正黑體" w:hint="eastAsia"/>
          <w:color w:val="000000" w:themeColor="text1"/>
          <w:sz w:val="28"/>
          <w:szCs w:val="28"/>
        </w:rPr>
        <w:t>%</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中國大陸非投資等級債</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全6.60</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，台6.88%</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新興市場非投資等級債</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全3.88</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，台5.47%</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全球型非投資等級債</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全2.40</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，台4.02%</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投資</w:t>
      </w:r>
      <w:proofErr w:type="gramStart"/>
      <w:r w:rsidR="009A50B3">
        <w:rPr>
          <w:rFonts w:ascii="微軟正黑體" w:eastAsia="微軟正黑體" w:hAnsi="微軟正黑體" w:hint="eastAsia"/>
          <w:color w:val="000000" w:themeColor="text1"/>
          <w:sz w:val="28"/>
          <w:szCs w:val="28"/>
        </w:rPr>
        <w:t>等級債中以</w:t>
      </w:r>
      <w:proofErr w:type="gramEnd"/>
      <w:r w:rsidR="009A50B3">
        <w:rPr>
          <w:rFonts w:ascii="微軟正黑體" w:eastAsia="微軟正黑體" w:hAnsi="微軟正黑體" w:hint="eastAsia"/>
          <w:color w:val="000000" w:themeColor="text1"/>
          <w:sz w:val="28"/>
          <w:szCs w:val="28"/>
        </w:rPr>
        <w:t>亞洲新興市場投資等級債</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全3.69</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，台5.21%</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短期型投資等級債</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全3.31</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，台5.10%</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全球新興市場投資等級債</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全2.46</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，台4.63%</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較佳</w:t>
      </w:r>
      <w:r w:rsidR="009A50B3" w:rsidRPr="00D65B6C">
        <w:rPr>
          <w:rFonts w:ascii="微軟正黑體" w:eastAsia="微軟正黑體" w:hAnsi="微軟正黑體" w:hint="eastAsia"/>
          <w:color w:val="000000" w:themeColor="text1"/>
          <w:sz w:val="28"/>
          <w:szCs w:val="28"/>
        </w:rPr>
        <w:t>。</w:t>
      </w:r>
      <w:r w:rsidR="009A50B3">
        <w:rPr>
          <w:rFonts w:ascii="微軟正黑體" w:eastAsia="微軟正黑體" w:hAnsi="微軟正黑體" w:hint="eastAsia"/>
          <w:color w:val="000000" w:themeColor="text1"/>
          <w:sz w:val="28"/>
          <w:szCs w:val="28"/>
        </w:rPr>
        <w:t xml:space="preserve">一般債券型 </w:t>
      </w:r>
      <w:r w:rsidR="009A50B3">
        <w:rPr>
          <w:rFonts w:ascii="微軟正黑體" w:eastAsia="微軟正黑體" w:hAnsi="微軟正黑體"/>
          <w:color w:val="000000" w:themeColor="text1"/>
          <w:sz w:val="28"/>
          <w:szCs w:val="28"/>
        </w:rPr>
        <w:t>ETF</w:t>
      </w:r>
      <w:r w:rsidR="009A50B3">
        <w:rPr>
          <w:rFonts w:ascii="微軟正黑體" w:eastAsia="微軟正黑體" w:hAnsi="微軟正黑體" w:hint="eastAsia"/>
          <w:color w:val="000000" w:themeColor="text1"/>
          <w:sz w:val="28"/>
          <w:szCs w:val="28"/>
        </w:rPr>
        <w:t>平均報酬率3.25%，其中以投資短期債券的E</w:t>
      </w:r>
      <w:r w:rsidR="009A50B3">
        <w:rPr>
          <w:rFonts w:ascii="微軟正黑體" w:eastAsia="微軟正黑體" w:hAnsi="微軟正黑體"/>
          <w:color w:val="000000" w:themeColor="text1"/>
          <w:sz w:val="28"/>
          <w:szCs w:val="28"/>
        </w:rPr>
        <w:t>TF</w:t>
      </w:r>
      <w:r w:rsidR="009A50B3">
        <w:rPr>
          <w:rFonts w:ascii="微軟正黑體" w:eastAsia="微軟正黑體" w:hAnsi="微軟正黑體" w:hint="eastAsia"/>
          <w:color w:val="000000" w:themeColor="text1"/>
          <w:sz w:val="28"/>
          <w:szCs w:val="28"/>
        </w:rPr>
        <w:t>表現較優</w:t>
      </w:r>
      <w:r w:rsidR="009A50B3" w:rsidRPr="00D65B6C">
        <w:rPr>
          <w:rFonts w:ascii="微軟正黑體" w:eastAsia="微軟正黑體" w:hAnsi="微軟正黑體" w:hint="eastAsia"/>
          <w:color w:val="000000" w:themeColor="text1"/>
          <w:sz w:val="28"/>
          <w:szCs w:val="28"/>
        </w:rPr>
        <w:t>。</w:t>
      </w:r>
    </w:p>
    <w:p w14:paraId="5E67452C" w14:textId="3DFFC135" w:rsidR="006423BB" w:rsidRPr="00D65B6C" w:rsidRDefault="009A50B3" w:rsidP="00171BF2">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6月</w:t>
      </w:r>
      <w:r w:rsidR="00076730">
        <w:rPr>
          <w:rFonts w:ascii="微軟正黑體" w:eastAsia="微軟正黑體" w:hAnsi="微軟正黑體" w:hint="eastAsia"/>
          <w:color w:val="000000" w:themeColor="text1"/>
          <w:sz w:val="28"/>
          <w:szCs w:val="28"/>
        </w:rPr>
        <w:t>國內</w:t>
      </w:r>
      <w:bookmarkStart w:id="0" w:name="_GoBack"/>
      <w:bookmarkEnd w:id="0"/>
      <w:r>
        <w:rPr>
          <w:rFonts w:ascii="微軟正黑體" w:eastAsia="微軟正黑體" w:hAnsi="微軟正黑體" w:hint="eastAsia"/>
          <w:color w:val="000000" w:themeColor="text1"/>
          <w:sz w:val="28"/>
          <w:szCs w:val="28"/>
        </w:rPr>
        <w:t>平衡型（5.93%）表現優於國際平衡型如全球平衡型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全2.</w:t>
      </w:r>
      <w:r w:rsidR="00CC40A1">
        <w:rPr>
          <w:rFonts w:ascii="微軟正黑體" w:eastAsia="微軟正黑體" w:hAnsi="微軟正黑體" w:hint="eastAsia"/>
          <w:color w:val="000000" w:themeColor="text1"/>
          <w:sz w:val="28"/>
          <w:szCs w:val="28"/>
        </w:rPr>
        <w:t>51</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，台2.47%</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亞洲平衡型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全2.77</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，台3.17%</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，亦優於多重資產型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全1.60</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，台1.76%</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上半年平衡型基金有不少繳出兩位數的報酬率，如國內平衡型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17.72%</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全球平衡型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全12.</w:t>
      </w:r>
      <w:r w:rsidR="00CC40A1">
        <w:rPr>
          <w:rFonts w:ascii="微軟正黑體" w:eastAsia="微軟正黑體" w:hAnsi="微軟正黑體" w:hint="eastAsia"/>
          <w:color w:val="000000" w:themeColor="text1"/>
          <w:sz w:val="28"/>
          <w:szCs w:val="28"/>
        </w:rPr>
        <w:t>19</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，台14.82%</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亞洲平衡型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全10.41</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，台13.22%</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其他子類報酬</w:t>
      </w:r>
      <w:proofErr w:type="gramStart"/>
      <w:r>
        <w:rPr>
          <w:rFonts w:ascii="微軟正黑體" w:eastAsia="微軟正黑體" w:hAnsi="微軟正黑體" w:hint="eastAsia"/>
          <w:color w:val="000000" w:themeColor="text1"/>
          <w:sz w:val="28"/>
          <w:szCs w:val="28"/>
        </w:rPr>
        <w:lastRenderedPageBreak/>
        <w:t>率多界於</w:t>
      </w:r>
      <w:proofErr w:type="gramEnd"/>
      <w:r>
        <w:rPr>
          <w:rFonts w:ascii="微軟正黑體" w:eastAsia="微軟正黑體" w:hAnsi="微軟正黑體" w:hint="eastAsia"/>
          <w:color w:val="000000" w:themeColor="text1"/>
          <w:sz w:val="28"/>
          <w:szCs w:val="28"/>
        </w:rPr>
        <w:t>5%到10%</w:t>
      </w:r>
      <w:proofErr w:type="gramStart"/>
      <w:r>
        <w:rPr>
          <w:rFonts w:ascii="微軟正黑體" w:eastAsia="微軟正黑體" w:hAnsi="微軟正黑體" w:hint="eastAsia"/>
          <w:color w:val="000000" w:themeColor="text1"/>
          <w:sz w:val="28"/>
          <w:szCs w:val="28"/>
        </w:rPr>
        <w:t>之間</w:t>
      </w:r>
      <w:proofErr w:type="gramEnd"/>
      <w:r>
        <w:rPr>
          <w:rFonts w:ascii="微軟正黑體" w:eastAsia="微軟正黑體" w:hAnsi="微軟正黑體" w:hint="eastAsia"/>
          <w:color w:val="000000" w:themeColor="text1"/>
          <w:sz w:val="28"/>
          <w:szCs w:val="28"/>
        </w:rPr>
        <w:t>，也不算差</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多重資產型</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全7.10</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，台9.97%</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表現也不錯，其中富邦A</w:t>
      </w:r>
      <w:r>
        <w:rPr>
          <w:rFonts w:ascii="微軟正黑體" w:eastAsia="微軟正黑體" w:hAnsi="微軟正黑體"/>
          <w:color w:val="000000" w:themeColor="text1"/>
          <w:sz w:val="28"/>
          <w:szCs w:val="28"/>
        </w:rPr>
        <w:t>I</w:t>
      </w:r>
      <w:r>
        <w:rPr>
          <w:rFonts w:ascii="微軟正黑體" w:eastAsia="微軟正黑體" w:hAnsi="微軟正黑體" w:hint="eastAsia"/>
          <w:color w:val="000000" w:themeColor="text1"/>
          <w:sz w:val="28"/>
          <w:szCs w:val="28"/>
        </w:rPr>
        <w:t>智能新趨勢多重資產基金報酬率高達46.13%</w:t>
      </w:r>
      <w:r w:rsidRPr="00D65B6C">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不動產證券化基金上半年表現不佳，全部幣別平均報酬率-1.</w:t>
      </w:r>
      <w:r w:rsidR="00CC40A1">
        <w:rPr>
          <w:rFonts w:ascii="微軟正黑體" w:eastAsia="微軟正黑體" w:hAnsi="微軟正黑體" w:hint="eastAsia"/>
          <w:color w:val="000000" w:themeColor="text1"/>
          <w:sz w:val="28"/>
          <w:szCs w:val="28"/>
        </w:rPr>
        <w:t>65</w:t>
      </w:r>
      <w:r>
        <w:rPr>
          <w:rFonts w:ascii="微軟正黑體" w:eastAsia="微軟正黑體" w:hAnsi="微軟正黑體" w:hint="eastAsia"/>
          <w:color w:val="000000" w:themeColor="text1"/>
          <w:sz w:val="28"/>
          <w:szCs w:val="28"/>
        </w:rPr>
        <w:t>%，台幣級別</w:t>
      </w:r>
      <w:r w:rsidRPr="00D65B6C">
        <w:rPr>
          <w:rFonts w:ascii="微軟正黑體" w:eastAsia="微軟正黑體" w:hAnsi="微軟正黑體" w:hint="eastAsia"/>
          <w:color w:val="000000" w:themeColor="text1"/>
          <w:sz w:val="28"/>
          <w:szCs w:val="28"/>
        </w:rPr>
        <w:t>（</w:t>
      </w:r>
      <w:r w:rsidR="00E14491">
        <w:rPr>
          <w:rFonts w:ascii="微軟正黑體" w:eastAsia="微軟正黑體" w:hAnsi="微軟正黑體" w:hint="eastAsia"/>
          <w:color w:val="000000" w:themeColor="text1"/>
          <w:sz w:val="28"/>
          <w:szCs w:val="28"/>
        </w:rPr>
        <w:t>1.6</w:t>
      </w:r>
      <w:r w:rsidR="00CC40A1">
        <w:rPr>
          <w:rFonts w:ascii="微軟正黑體" w:eastAsia="微軟正黑體" w:hAnsi="微軟正黑體" w:hint="eastAsia"/>
          <w:color w:val="000000" w:themeColor="text1"/>
          <w:sz w:val="28"/>
          <w:szCs w:val="28"/>
        </w:rPr>
        <w:t>4</w:t>
      </w:r>
      <w:r>
        <w:rPr>
          <w:rFonts w:ascii="微軟正黑體" w:eastAsia="微軟正黑體" w:hAnsi="微軟正黑體" w:hint="eastAsia"/>
          <w:color w:val="000000" w:themeColor="text1"/>
          <w:sz w:val="28"/>
          <w:szCs w:val="28"/>
        </w:rPr>
        <w:t>%</w:t>
      </w:r>
      <w:r w:rsidRPr="00D65B6C">
        <w:rPr>
          <w:rFonts w:ascii="微軟正黑體" w:eastAsia="微軟正黑體" w:hAnsi="微軟正黑體" w:hint="eastAsia"/>
          <w:color w:val="000000" w:themeColor="text1"/>
          <w:sz w:val="28"/>
          <w:szCs w:val="28"/>
        </w:rPr>
        <w:t>）</w:t>
      </w:r>
      <w:r w:rsidR="00E14491">
        <w:rPr>
          <w:rFonts w:ascii="微軟正黑體" w:eastAsia="微軟正黑體" w:hAnsi="微軟正黑體" w:hint="eastAsia"/>
          <w:color w:val="000000" w:themeColor="text1"/>
          <w:sz w:val="28"/>
          <w:szCs w:val="28"/>
        </w:rPr>
        <w:t>勉強為正</w:t>
      </w:r>
      <w:r w:rsidRPr="00D65B6C">
        <w:rPr>
          <w:rFonts w:ascii="微軟正黑體" w:eastAsia="微軟正黑體" w:hAnsi="微軟正黑體" w:hint="eastAsia"/>
          <w:color w:val="000000" w:themeColor="text1"/>
          <w:sz w:val="28"/>
          <w:szCs w:val="28"/>
        </w:rPr>
        <w:t>。</w:t>
      </w:r>
    </w:p>
    <w:p w14:paraId="6A165370" w14:textId="6BD7F23C" w:rsidR="00F35930" w:rsidRPr="008F316B" w:rsidRDefault="00F35930" w:rsidP="008F316B">
      <w:pPr>
        <w:spacing w:beforeLines="50" w:before="180" w:afterLines="50" w:after="180"/>
        <w:ind w:firstLineChars="200" w:firstLine="560"/>
        <w:jc w:val="both"/>
        <w:rPr>
          <w:rFonts w:ascii="微軟正黑體" w:eastAsia="微軟正黑體" w:hAnsi="微軟正黑體"/>
          <w:color w:val="000000" w:themeColor="text1"/>
          <w:sz w:val="28"/>
          <w:szCs w:val="28"/>
        </w:rPr>
      </w:pPr>
    </w:p>
    <w:sectPr w:rsidR="00F35930" w:rsidRPr="008F316B">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1E9F" w14:textId="77777777" w:rsidR="00D409C0" w:rsidRDefault="00D409C0" w:rsidP="001F48D9">
      <w:r>
        <w:separator/>
      </w:r>
    </w:p>
  </w:endnote>
  <w:endnote w:type="continuationSeparator" w:id="0">
    <w:p w14:paraId="7EBE0500" w14:textId="77777777" w:rsidR="00D409C0" w:rsidRDefault="00D409C0" w:rsidP="001F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245893"/>
      <w:docPartObj>
        <w:docPartGallery w:val="Page Numbers (Bottom of Page)"/>
        <w:docPartUnique/>
      </w:docPartObj>
    </w:sdtPr>
    <w:sdtEndPr/>
    <w:sdtContent>
      <w:p w14:paraId="344F9298" w14:textId="00DB9FE5" w:rsidR="009A50B3" w:rsidRDefault="009A50B3">
        <w:pPr>
          <w:pStyle w:val="a5"/>
          <w:jc w:val="center"/>
        </w:pPr>
        <w:r>
          <w:fldChar w:fldCharType="begin"/>
        </w:r>
        <w:r>
          <w:instrText>PAGE   \* MERGEFORMAT</w:instrText>
        </w:r>
        <w:r>
          <w:fldChar w:fldCharType="separate"/>
        </w:r>
        <w:r w:rsidRPr="00436978">
          <w:rPr>
            <w:noProof/>
            <w:lang w:val="zh-TW"/>
          </w:rPr>
          <w:t>1</w:t>
        </w:r>
        <w:r>
          <w:fldChar w:fldCharType="end"/>
        </w:r>
      </w:p>
    </w:sdtContent>
  </w:sdt>
  <w:p w14:paraId="6BB7A9B5" w14:textId="77777777" w:rsidR="009A50B3" w:rsidRDefault="009A5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57DF" w14:textId="77777777" w:rsidR="00D409C0" w:rsidRDefault="00D409C0" w:rsidP="001F48D9">
      <w:r>
        <w:separator/>
      </w:r>
    </w:p>
  </w:footnote>
  <w:footnote w:type="continuationSeparator" w:id="0">
    <w:p w14:paraId="3984B07F" w14:textId="77777777" w:rsidR="00D409C0" w:rsidRDefault="00D409C0" w:rsidP="001F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F"/>
    <w:rsid w:val="0000261C"/>
    <w:rsid w:val="000170D5"/>
    <w:rsid w:val="00020AFC"/>
    <w:rsid w:val="000223D6"/>
    <w:rsid w:val="00023381"/>
    <w:rsid w:val="000334A8"/>
    <w:rsid w:val="00047338"/>
    <w:rsid w:val="00047C66"/>
    <w:rsid w:val="00065475"/>
    <w:rsid w:val="00075D5D"/>
    <w:rsid w:val="00076730"/>
    <w:rsid w:val="0008086D"/>
    <w:rsid w:val="00080F13"/>
    <w:rsid w:val="000A5F9D"/>
    <w:rsid w:val="000B100A"/>
    <w:rsid w:val="000C0889"/>
    <w:rsid w:val="000E07CB"/>
    <w:rsid w:val="000F4753"/>
    <w:rsid w:val="00101B38"/>
    <w:rsid w:val="001056BD"/>
    <w:rsid w:val="0013140A"/>
    <w:rsid w:val="0015798F"/>
    <w:rsid w:val="00163D81"/>
    <w:rsid w:val="0017005A"/>
    <w:rsid w:val="00171BF2"/>
    <w:rsid w:val="00190825"/>
    <w:rsid w:val="001B5788"/>
    <w:rsid w:val="001E4827"/>
    <w:rsid w:val="001F48D9"/>
    <w:rsid w:val="001F5897"/>
    <w:rsid w:val="001F6F03"/>
    <w:rsid w:val="00211822"/>
    <w:rsid w:val="0021693B"/>
    <w:rsid w:val="0021741B"/>
    <w:rsid w:val="002219E4"/>
    <w:rsid w:val="002220BF"/>
    <w:rsid w:val="002469EF"/>
    <w:rsid w:val="00253980"/>
    <w:rsid w:val="00261B1D"/>
    <w:rsid w:val="00266E7B"/>
    <w:rsid w:val="002752A2"/>
    <w:rsid w:val="00282B0C"/>
    <w:rsid w:val="0029599F"/>
    <w:rsid w:val="002B04E7"/>
    <w:rsid w:val="002E6173"/>
    <w:rsid w:val="002F27AF"/>
    <w:rsid w:val="00307C9D"/>
    <w:rsid w:val="00316D79"/>
    <w:rsid w:val="00331AA2"/>
    <w:rsid w:val="003357FD"/>
    <w:rsid w:val="00373A3D"/>
    <w:rsid w:val="00386D1C"/>
    <w:rsid w:val="003A13F3"/>
    <w:rsid w:val="003A2D0B"/>
    <w:rsid w:val="003B2314"/>
    <w:rsid w:val="00401A0F"/>
    <w:rsid w:val="00404324"/>
    <w:rsid w:val="004157DC"/>
    <w:rsid w:val="00434701"/>
    <w:rsid w:val="00436978"/>
    <w:rsid w:val="00447BAD"/>
    <w:rsid w:val="00481FB0"/>
    <w:rsid w:val="00491C31"/>
    <w:rsid w:val="004A2003"/>
    <w:rsid w:val="004B1341"/>
    <w:rsid w:val="004B162D"/>
    <w:rsid w:val="004C4B3F"/>
    <w:rsid w:val="004C53AA"/>
    <w:rsid w:val="004E6BA8"/>
    <w:rsid w:val="004E78C5"/>
    <w:rsid w:val="004F0B1F"/>
    <w:rsid w:val="0051364E"/>
    <w:rsid w:val="005231E0"/>
    <w:rsid w:val="00546E3D"/>
    <w:rsid w:val="005552DB"/>
    <w:rsid w:val="005A06A8"/>
    <w:rsid w:val="005C1AA7"/>
    <w:rsid w:val="005F3457"/>
    <w:rsid w:val="005F7E5E"/>
    <w:rsid w:val="0060168B"/>
    <w:rsid w:val="0060475F"/>
    <w:rsid w:val="006159B2"/>
    <w:rsid w:val="00621DCB"/>
    <w:rsid w:val="006324B9"/>
    <w:rsid w:val="006404AC"/>
    <w:rsid w:val="006423BB"/>
    <w:rsid w:val="00647C43"/>
    <w:rsid w:val="00651AF6"/>
    <w:rsid w:val="00656402"/>
    <w:rsid w:val="00672286"/>
    <w:rsid w:val="0069063F"/>
    <w:rsid w:val="00690C2F"/>
    <w:rsid w:val="006A5C09"/>
    <w:rsid w:val="006C0491"/>
    <w:rsid w:val="006D7128"/>
    <w:rsid w:val="006D766B"/>
    <w:rsid w:val="006D7788"/>
    <w:rsid w:val="006F29A6"/>
    <w:rsid w:val="006F5009"/>
    <w:rsid w:val="00701796"/>
    <w:rsid w:val="00701BBD"/>
    <w:rsid w:val="0070274C"/>
    <w:rsid w:val="00705349"/>
    <w:rsid w:val="0070738F"/>
    <w:rsid w:val="00707A1D"/>
    <w:rsid w:val="0072270C"/>
    <w:rsid w:val="00723EA7"/>
    <w:rsid w:val="007248AC"/>
    <w:rsid w:val="00730CD8"/>
    <w:rsid w:val="00742A8B"/>
    <w:rsid w:val="00753501"/>
    <w:rsid w:val="00760401"/>
    <w:rsid w:val="00762C13"/>
    <w:rsid w:val="00771351"/>
    <w:rsid w:val="00774992"/>
    <w:rsid w:val="00777A28"/>
    <w:rsid w:val="007833B0"/>
    <w:rsid w:val="007844C4"/>
    <w:rsid w:val="007931AF"/>
    <w:rsid w:val="007A0A60"/>
    <w:rsid w:val="007B2E40"/>
    <w:rsid w:val="007B43FA"/>
    <w:rsid w:val="007B5088"/>
    <w:rsid w:val="007B7BD9"/>
    <w:rsid w:val="007C5AD5"/>
    <w:rsid w:val="007D028E"/>
    <w:rsid w:val="007D45C4"/>
    <w:rsid w:val="007D4A0B"/>
    <w:rsid w:val="007E1E2E"/>
    <w:rsid w:val="007E3BEA"/>
    <w:rsid w:val="00800A61"/>
    <w:rsid w:val="00805E9A"/>
    <w:rsid w:val="00811DA5"/>
    <w:rsid w:val="00824236"/>
    <w:rsid w:val="0082602F"/>
    <w:rsid w:val="00835ECC"/>
    <w:rsid w:val="008447BB"/>
    <w:rsid w:val="00845DCF"/>
    <w:rsid w:val="008477C3"/>
    <w:rsid w:val="00865897"/>
    <w:rsid w:val="00871F74"/>
    <w:rsid w:val="0087671B"/>
    <w:rsid w:val="008946D3"/>
    <w:rsid w:val="008F316B"/>
    <w:rsid w:val="009263B4"/>
    <w:rsid w:val="00930CB5"/>
    <w:rsid w:val="00934777"/>
    <w:rsid w:val="00936607"/>
    <w:rsid w:val="00943457"/>
    <w:rsid w:val="00954C81"/>
    <w:rsid w:val="00975993"/>
    <w:rsid w:val="00984550"/>
    <w:rsid w:val="0098691D"/>
    <w:rsid w:val="00994864"/>
    <w:rsid w:val="009A50B3"/>
    <w:rsid w:val="009C7FE2"/>
    <w:rsid w:val="009D3B2D"/>
    <w:rsid w:val="009D6903"/>
    <w:rsid w:val="009E56E7"/>
    <w:rsid w:val="009F149E"/>
    <w:rsid w:val="009F1B62"/>
    <w:rsid w:val="00A04DFF"/>
    <w:rsid w:val="00A07761"/>
    <w:rsid w:val="00A1589E"/>
    <w:rsid w:val="00A33D1C"/>
    <w:rsid w:val="00A52990"/>
    <w:rsid w:val="00A53BF3"/>
    <w:rsid w:val="00A555E8"/>
    <w:rsid w:val="00A5636C"/>
    <w:rsid w:val="00A6056C"/>
    <w:rsid w:val="00A6512B"/>
    <w:rsid w:val="00A66A41"/>
    <w:rsid w:val="00A70485"/>
    <w:rsid w:val="00A81D42"/>
    <w:rsid w:val="00A9324F"/>
    <w:rsid w:val="00A95F7A"/>
    <w:rsid w:val="00AB6BDB"/>
    <w:rsid w:val="00AC7F0A"/>
    <w:rsid w:val="00AD3214"/>
    <w:rsid w:val="00AD648C"/>
    <w:rsid w:val="00B01C0E"/>
    <w:rsid w:val="00B03363"/>
    <w:rsid w:val="00B11B4F"/>
    <w:rsid w:val="00B33D0A"/>
    <w:rsid w:val="00B372E4"/>
    <w:rsid w:val="00B4559B"/>
    <w:rsid w:val="00B6323C"/>
    <w:rsid w:val="00B66F77"/>
    <w:rsid w:val="00B70D48"/>
    <w:rsid w:val="00B90DB1"/>
    <w:rsid w:val="00B92D37"/>
    <w:rsid w:val="00BB1179"/>
    <w:rsid w:val="00BB1839"/>
    <w:rsid w:val="00BD098E"/>
    <w:rsid w:val="00BD11E2"/>
    <w:rsid w:val="00BE5F52"/>
    <w:rsid w:val="00BE6857"/>
    <w:rsid w:val="00BF1343"/>
    <w:rsid w:val="00BF2678"/>
    <w:rsid w:val="00C00F9C"/>
    <w:rsid w:val="00C13F66"/>
    <w:rsid w:val="00C26E6F"/>
    <w:rsid w:val="00C26F5B"/>
    <w:rsid w:val="00C45B32"/>
    <w:rsid w:val="00C527E1"/>
    <w:rsid w:val="00C60695"/>
    <w:rsid w:val="00C60E46"/>
    <w:rsid w:val="00C62771"/>
    <w:rsid w:val="00C71C9A"/>
    <w:rsid w:val="00C7398F"/>
    <w:rsid w:val="00C779F4"/>
    <w:rsid w:val="00C80890"/>
    <w:rsid w:val="00C8314D"/>
    <w:rsid w:val="00C87BC3"/>
    <w:rsid w:val="00CA1858"/>
    <w:rsid w:val="00CA2997"/>
    <w:rsid w:val="00CB0375"/>
    <w:rsid w:val="00CB1EF5"/>
    <w:rsid w:val="00CB66D6"/>
    <w:rsid w:val="00CC151D"/>
    <w:rsid w:val="00CC32EF"/>
    <w:rsid w:val="00CC40A1"/>
    <w:rsid w:val="00CC55CB"/>
    <w:rsid w:val="00CD2085"/>
    <w:rsid w:val="00CD2F9F"/>
    <w:rsid w:val="00CD765B"/>
    <w:rsid w:val="00CE167B"/>
    <w:rsid w:val="00D07408"/>
    <w:rsid w:val="00D3586C"/>
    <w:rsid w:val="00D40967"/>
    <w:rsid w:val="00D409C0"/>
    <w:rsid w:val="00D6390F"/>
    <w:rsid w:val="00D65B6C"/>
    <w:rsid w:val="00D66611"/>
    <w:rsid w:val="00D84C08"/>
    <w:rsid w:val="00D84C13"/>
    <w:rsid w:val="00D924C1"/>
    <w:rsid w:val="00D93DB3"/>
    <w:rsid w:val="00D93EF1"/>
    <w:rsid w:val="00D944BE"/>
    <w:rsid w:val="00DA3C64"/>
    <w:rsid w:val="00DA3D2A"/>
    <w:rsid w:val="00DB20E7"/>
    <w:rsid w:val="00DB4B2B"/>
    <w:rsid w:val="00DB6200"/>
    <w:rsid w:val="00DB7B63"/>
    <w:rsid w:val="00DC447E"/>
    <w:rsid w:val="00DD121B"/>
    <w:rsid w:val="00DD4BD2"/>
    <w:rsid w:val="00DF16DB"/>
    <w:rsid w:val="00DF7888"/>
    <w:rsid w:val="00E044FF"/>
    <w:rsid w:val="00E14491"/>
    <w:rsid w:val="00E30CAE"/>
    <w:rsid w:val="00E316AE"/>
    <w:rsid w:val="00E323EC"/>
    <w:rsid w:val="00E33850"/>
    <w:rsid w:val="00E65515"/>
    <w:rsid w:val="00E84634"/>
    <w:rsid w:val="00E90FD3"/>
    <w:rsid w:val="00E962E4"/>
    <w:rsid w:val="00E97B28"/>
    <w:rsid w:val="00EA0AF9"/>
    <w:rsid w:val="00EA1B12"/>
    <w:rsid w:val="00EA4432"/>
    <w:rsid w:val="00EC5EFB"/>
    <w:rsid w:val="00ED750E"/>
    <w:rsid w:val="00EF26AA"/>
    <w:rsid w:val="00F26415"/>
    <w:rsid w:val="00F277B9"/>
    <w:rsid w:val="00F35930"/>
    <w:rsid w:val="00F431C0"/>
    <w:rsid w:val="00F50D98"/>
    <w:rsid w:val="00F6250C"/>
    <w:rsid w:val="00F67702"/>
    <w:rsid w:val="00F950FF"/>
    <w:rsid w:val="00FA1BBA"/>
    <w:rsid w:val="00FA20E5"/>
    <w:rsid w:val="00FB25C2"/>
    <w:rsid w:val="00FB2A85"/>
    <w:rsid w:val="00FD7967"/>
    <w:rsid w:val="00FE1173"/>
    <w:rsid w:val="00FF13D3"/>
    <w:rsid w:val="00FF7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DBA2C"/>
  <w15:chartTrackingRefBased/>
  <w15:docId w15:val="{08F81483-40BE-4175-B489-8122F166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8D9"/>
    <w:pPr>
      <w:tabs>
        <w:tab w:val="center" w:pos="4153"/>
        <w:tab w:val="right" w:pos="8306"/>
      </w:tabs>
      <w:snapToGrid w:val="0"/>
    </w:pPr>
    <w:rPr>
      <w:sz w:val="20"/>
      <w:szCs w:val="20"/>
    </w:rPr>
  </w:style>
  <w:style w:type="character" w:customStyle="1" w:styleId="a4">
    <w:name w:val="頁首 字元"/>
    <w:basedOn w:val="a0"/>
    <w:link w:val="a3"/>
    <w:uiPriority w:val="99"/>
    <w:rsid w:val="001F48D9"/>
    <w:rPr>
      <w:sz w:val="20"/>
      <w:szCs w:val="20"/>
    </w:rPr>
  </w:style>
  <w:style w:type="paragraph" w:styleId="a5">
    <w:name w:val="footer"/>
    <w:basedOn w:val="a"/>
    <w:link w:val="a6"/>
    <w:uiPriority w:val="99"/>
    <w:unhideWhenUsed/>
    <w:rsid w:val="001F48D9"/>
    <w:pPr>
      <w:tabs>
        <w:tab w:val="center" w:pos="4153"/>
        <w:tab w:val="right" w:pos="8306"/>
      </w:tabs>
      <w:snapToGrid w:val="0"/>
    </w:pPr>
    <w:rPr>
      <w:sz w:val="20"/>
      <w:szCs w:val="20"/>
    </w:rPr>
  </w:style>
  <w:style w:type="character" w:customStyle="1" w:styleId="a6">
    <w:name w:val="頁尾 字元"/>
    <w:basedOn w:val="a0"/>
    <w:link w:val="a5"/>
    <w:uiPriority w:val="99"/>
    <w:rsid w:val="001F48D9"/>
    <w:rPr>
      <w:sz w:val="20"/>
      <w:szCs w:val="20"/>
    </w:rPr>
  </w:style>
  <w:style w:type="paragraph" w:styleId="a7">
    <w:name w:val="Balloon Text"/>
    <w:basedOn w:val="a"/>
    <w:link w:val="a8"/>
    <w:uiPriority w:val="99"/>
    <w:semiHidden/>
    <w:unhideWhenUsed/>
    <w:rsid w:val="00D65B6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65B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6</Pages>
  <Words>460</Words>
  <Characters>2625</Characters>
  <Application>Microsoft Office Word</Application>
  <DocSecurity>0</DocSecurity>
  <Lines>21</Lines>
  <Paragraphs>6</Paragraphs>
  <ScaleCrop>false</ScaleCrop>
  <Company>Toshiba</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邱顯比</cp:lastModifiedBy>
  <cp:revision>67</cp:revision>
  <cp:lastPrinted>2024-03-05T05:52:00Z</cp:lastPrinted>
  <dcterms:created xsi:type="dcterms:W3CDTF">2023-05-11T03:10:00Z</dcterms:created>
  <dcterms:modified xsi:type="dcterms:W3CDTF">2024-07-04T03:32:00Z</dcterms:modified>
</cp:coreProperties>
</file>