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3BE4" w14:textId="6EA4ADDF" w:rsidR="00DB442C" w:rsidRPr="00555D1C" w:rsidRDefault="00DB442C" w:rsidP="00DB442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55D1C">
        <w:rPr>
          <w:rFonts w:ascii="Times New Roman" w:eastAsia="標楷體" w:hAnsi="Times New Roman" w:cs="Times New Roman" w:hint="eastAsia"/>
          <w:b/>
          <w:sz w:val="36"/>
          <w:szCs w:val="36"/>
        </w:rPr>
        <w:t>台股基金年初以來報酬終於轉正</w:t>
      </w:r>
    </w:p>
    <w:p w14:paraId="0696118B" w14:textId="05036775" w:rsidR="003A7462" w:rsidRPr="00555D1C" w:rsidRDefault="003A7462" w:rsidP="003A746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62BC2E9" w14:textId="1E1B7426" w:rsidR="003A7462" w:rsidRPr="00555D1C" w:rsidRDefault="00B32CFA" w:rsidP="00B32CFA">
      <w:pPr>
        <w:snapToGrid w:val="0"/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55D1C">
        <w:rPr>
          <w:rFonts w:ascii="Times New Roman" w:eastAsia="標楷體" w:hAnsi="Times New Roman" w:cs="Times New Roman" w:hint="eastAsia"/>
          <w:sz w:val="28"/>
          <w:szCs w:val="28"/>
        </w:rPr>
        <w:t>邱顯比</w:t>
      </w:r>
      <w:r w:rsidR="00DB442C" w:rsidRPr="00555D1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B442C" w:rsidRPr="00555D1C">
        <w:rPr>
          <w:rFonts w:ascii="Times New Roman" w:eastAsia="標楷體" w:hAnsi="Times New Roman" w:cs="Times New Roman" w:hint="eastAsia"/>
          <w:sz w:val="28"/>
          <w:szCs w:val="28"/>
        </w:rPr>
        <w:t>葉銀華</w:t>
      </w:r>
    </w:p>
    <w:p w14:paraId="17E12E14" w14:textId="77777777" w:rsidR="00B32CFA" w:rsidRPr="00555D1C" w:rsidRDefault="00B32CFA" w:rsidP="00B32CFA">
      <w:pPr>
        <w:snapToGrid w:val="0"/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D7025FB" w14:textId="1616F7FD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2025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年</w:t>
      </w:r>
      <w:r w:rsidRPr="00DB442C">
        <w:rPr>
          <w:rFonts w:ascii="Times New Roman" w:eastAsia="標楷體" w:hAnsi="Times New Roman" w:cs="Times New Roman"/>
          <w:sz w:val="28"/>
          <w:szCs w:val="28"/>
        </w:rPr>
        <w:t xml:space="preserve"> 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月份川普政府的主要財經政策，首先是月初通過的大而美法案，增加國防、邊境安全支出，收緊醫療補助與取消前任政府通過的多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項綠能補助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，並進行較大幅度的減稅；此項法案有可能使未來聯邦政府債務大幅增加。其次，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月份陸續宣布對各國修正的對等關稅稅率，例如：日本、歐盟與南韓的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，馬來西亞、印尼、泰國、菲律賓的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19%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，台灣與越南的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20%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、印度的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、加拿大的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，而中國、墨西哥則繼續展延談判。值得一提的是，研判對等關稅的影響，還需考量相關配套，例如：對美國投資的金額與形式，以及對美國天然氣與武器的採購等；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再者，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美國與一些國家在具體內容及涵蓋範圍仍有部分的分歧。</w:t>
      </w:r>
    </w:p>
    <w:p w14:paraId="68C99B33" w14:textId="242B46BF" w:rsidR="00DB442C" w:rsidRPr="00DB442C" w:rsidRDefault="00DB442C" w:rsidP="00BA5E4A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由於美國對各國對等關稅稅率相對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月初也有所調降，再加上</w:t>
      </w:r>
      <w:r w:rsidRPr="00DB442C">
        <w:rPr>
          <w:rFonts w:ascii="Times New Roman" w:eastAsia="標楷體" w:hAnsi="Times New Roman" w:cs="Times New Roman"/>
          <w:sz w:val="28"/>
          <w:szCs w:val="28"/>
        </w:rPr>
        <w:t>AI</w:t>
      </w:r>
      <w:r w:rsidRPr="00DB442C">
        <w:rPr>
          <w:rFonts w:ascii="Times New Roman" w:eastAsia="標楷體" w:hAnsi="Times New Roman" w:cs="Times New Roman"/>
          <w:sz w:val="28"/>
          <w:szCs w:val="28"/>
        </w:rPr>
        <w:t>與電動車相關產業有著不錯的績效表現，使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月份全球股市大體上呈現上漲的格局。</w:t>
      </w:r>
      <w:r w:rsidRPr="00DB442C">
        <w:rPr>
          <w:rFonts w:ascii="Times New Roman" w:eastAsia="標楷體" w:hAnsi="Times New Roman" w:cs="Times New Roman"/>
          <w:sz w:val="28"/>
          <w:szCs w:val="28"/>
        </w:rPr>
        <w:t>MSCI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全球指數上漲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1.38%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，新興市場指數上漲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2.02%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。而歐洲股市則有不一樣的結果，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MSCI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歐洲指數下跌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1.67%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，但道瓊歐洲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STOXX50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指數則呈現小漲的現象（</w:t>
      </w:r>
      <w:r w:rsidRPr="00DB442C">
        <w:rPr>
          <w:rFonts w:ascii="Times New Roman" w:eastAsia="標楷體" w:hAnsi="Times New Roman" w:cs="Times New Roman"/>
          <w:sz w:val="28"/>
          <w:szCs w:val="28"/>
        </w:rPr>
        <w:t>0.32%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）。而美國股市</w:t>
      </w:r>
      <w:r w:rsidRPr="00DB442C">
        <w:rPr>
          <w:rFonts w:ascii="Times New Roman" w:eastAsia="標楷體" w:hAnsi="Times New Roman" w:cs="Times New Roman"/>
          <w:sz w:val="28"/>
          <w:szCs w:val="28"/>
        </w:rPr>
        <w:t>S&amp;P 500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2.17%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，道瓊工業指數則上漲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0.08%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，納斯達克指數則上漲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3.7%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。在亞洲市場方面，日經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225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1.44%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、上海綜合指數上漲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3.74%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、深圳成份指數上漲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5.2%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，但印度</w:t>
      </w:r>
      <w:r w:rsidRPr="00DB442C">
        <w:rPr>
          <w:rFonts w:ascii="Times New Roman" w:eastAsia="標楷體" w:hAnsi="Times New Roman" w:cs="Times New Roman"/>
          <w:sz w:val="28"/>
          <w:szCs w:val="28"/>
        </w:rPr>
        <w:t>Nifty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指數則下跌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2.93%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283D815" w14:textId="14ED829D" w:rsidR="00DB442C" w:rsidRPr="00812077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lastRenderedPageBreak/>
        <w:t>相對各國而言，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月份台灣股市有著較高的報酬率，加權指數上漲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5.78%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；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再者，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大型股與科技股則有更佳的表現，台灣</w:t>
      </w:r>
      <w:r w:rsidRPr="00DB442C">
        <w:rPr>
          <w:rFonts w:ascii="Times New Roman" w:eastAsia="標楷體" w:hAnsi="Times New Roman" w:cs="Times New Roman"/>
          <w:sz w:val="28"/>
          <w:szCs w:val="28"/>
        </w:rPr>
        <w:t>50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7.55%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、電子指數上漲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8.05%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。形成上述現象的原因，</w:t>
      </w:r>
      <w:r w:rsidRPr="00812077">
        <w:rPr>
          <w:rFonts w:ascii="Times New Roman" w:eastAsia="標楷體" w:hAnsi="Times New Roman" w:cs="Times New Roman"/>
          <w:sz w:val="28"/>
          <w:szCs w:val="28"/>
        </w:rPr>
        <w:t>在國際</w:t>
      </w:r>
      <w:r w:rsidRPr="00812077">
        <w:rPr>
          <w:rFonts w:ascii="Times New Roman" w:eastAsia="標楷體" w:hAnsi="Times New Roman" w:cs="Times New Roman"/>
          <w:sz w:val="28"/>
          <w:szCs w:val="28"/>
        </w:rPr>
        <w:t>AI</w:t>
      </w:r>
      <w:r w:rsidRPr="00812077">
        <w:rPr>
          <w:rFonts w:ascii="Times New Roman" w:eastAsia="標楷體" w:hAnsi="Times New Roman" w:cs="Times New Roman"/>
          <w:sz w:val="28"/>
          <w:szCs w:val="28"/>
        </w:rPr>
        <w:t>、科技股較為強勢帶動下，整體外資</w:t>
      </w:r>
      <w:r w:rsidRPr="00812077">
        <w:rPr>
          <w:rFonts w:ascii="Times New Roman" w:eastAsia="標楷體" w:hAnsi="Times New Roman" w:cs="Times New Roman"/>
          <w:sz w:val="28"/>
          <w:szCs w:val="28"/>
        </w:rPr>
        <w:t>7</w:t>
      </w:r>
      <w:r w:rsidRPr="00812077">
        <w:rPr>
          <w:rFonts w:ascii="Times New Roman" w:eastAsia="標楷體" w:hAnsi="Times New Roman" w:cs="Times New Roman"/>
          <w:sz w:val="28"/>
          <w:szCs w:val="28"/>
        </w:rPr>
        <w:t>月持續淨匯入約</w:t>
      </w:r>
      <w:r w:rsidRPr="00812077">
        <w:rPr>
          <w:rFonts w:ascii="Times New Roman" w:eastAsia="標楷體" w:hAnsi="Times New Roman" w:cs="Times New Roman"/>
          <w:sz w:val="28"/>
          <w:szCs w:val="28"/>
        </w:rPr>
        <w:t>50.4</w:t>
      </w:r>
      <w:r w:rsidRPr="00812077">
        <w:rPr>
          <w:rFonts w:ascii="Times New Roman" w:eastAsia="標楷體" w:hAnsi="Times New Roman" w:cs="Times New Roman"/>
          <w:sz w:val="28"/>
          <w:szCs w:val="28"/>
        </w:rPr>
        <w:t>億美元（約新台幣</w:t>
      </w:r>
      <w:r w:rsidRPr="00812077">
        <w:rPr>
          <w:rFonts w:ascii="Times New Roman" w:eastAsia="標楷體" w:hAnsi="Times New Roman" w:cs="Times New Roman"/>
          <w:sz w:val="28"/>
          <w:szCs w:val="28"/>
        </w:rPr>
        <w:t>1508</w:t>
      </w:r>
      <w:r w:rsidRPr="00812077">
        <w:rPr>
          <w:rFonts w:ascii="Times New Roman" w:eastAsia="標楷體" w:hAnsi="Times New Roman" w:cs="Times New Roman"/>
          <w:sz w:val="28"/>
          <w:szCs w:val="28"/>
        </w:rPr>
        <w:t>億元），連</w:t>
      </w:r>
      <w:r w:rsidRPr="00812077">
        <w:rPr>
          <w:rFonts w:ascii="Times New Roman" w:eastAsia="標楷體" w:hAnsi="Times New Roman" w:cs="Times New Roman"/>
          <w:sz w:val="28"/>
          <w:szCs w:val="28"/>
        </w:rPr>
        <w:t>3</w:t>
      </w:r>
      <w:r w:rsidRPr="00812077">
        <w:rPr>
          <w:rFonts w:ascii="Times New Roman" w:eastAsia="標楷體" w:hAnsi="Times New Roman" w:cs="Times New Roman"/>
          <w:sz w:val="28"/>
          <w:szCs w:val="28"/>
        </w:rPr>
        <w:t>月加碼、改寫同期新高。同時，形成</w:t>
      </w:r>
      <w:r w:rsidRPr="00812077">
        <w:rPr>
          <w:rFonts w:ascii="Times New Roman" w:eastAsia="標楷體" w:hAnsi="Times New Roman" w:cs="Times New Roman"/>
          <w:sz w:val="28"/>
          <w:szCs w:val="28"/>
        </w:rPr>
        <w:t>AI</w:t>
      </w:r>
      <w:r w:rsidRPr="00812077">
        <w:rPr>
          <w:rFonts w:ascii="Times New Roman" w:eastAsia="標楷體" w:hAnsi="Times New Roman" w:cs="Times New Roman"/>
          <w:sz w:val="28"/>
          <w:szCs w:val="28"/>
        </w:rPr>
        <w:t>、半導體與蘋果</w:t>
      </w:r>
      <w:proofErr w:type="gramStart"/>
      <w:r w:rsidRPr="00812077">
        <w:rPr>
          <w:rFonts w:ascii="Times New Roman" w:eastAsia="標楷體" w:hAnsi="Times New Roman" w:cs="Times New Roman"/>
          <w:sz w:val="28"/>
          <w:szCs w:val="28"/>
        </w:rPr>
        <w:t>鏈股的領漲</w:t>
      </w:r>
      <w:proofErr w:type="gramEnd"/>
      <w:r w:rsidRPr="00812077">
        <w:rPr>
          <w:rFonts w:ascii="Times New Roman" w:eastAsia="標楷體" w:hAnsi="Times New Roman" w:cs="Times New Roman"/>
          <w:sz w:val="28"/>
          <w:szCs w:val="28"/>
        </w:rPr>
        <w:t>的效應。</w:t>
      </w:r>
    </w:p>
    <w:p w14:paraId="08A25E50" w14:textId="76B8861E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另一方面，美國公債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殖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利率的變化是觀察債市的重點。以美國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10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年期公債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殖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利率而言，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月上半月呈現上升的走勢，從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4.24%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上升到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，之後下跌到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4.37%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，逐漸形成對未來</w:t>
      </w:r>
      <w:r w:rsidRPr="00DB442C">
        <w:rPr>
          <w:rFonts w:ascii="Times New Roman" w:eastAsia="標楷體" w:hAnsi="Times New Roman" w:cs="Times New Roman"/>
          <w:sz w:val="28"/>
          <w:szCs w:val="28"/>
        </w:rPr>
        <w:t>FED</w:t>
      </w:r>
      <w:r w:rsidRPr="00DB442C">
        <w:rPr>
          <w:rFonts w:ascii="Times New Roman" w:eastAsia="標楷體" w:hAnsi="Times New Roman" w:cs="Times New Roman"/>
          <w:sz w:val="28"/>
          <w:szCs w:val="28"/>
        </w:rPr>
        <w:t>降息的預期。在匯率方面，美元指數從今年初呈現大幅下降的趨勢，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 xml:space="preserve"> 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月則有回升（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3.36%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）；而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月份，台幣兌美元匯率也轉為貶值。</w:t>
      </w:r>
    </w:p>
    <w:p w14:paraId="647A708E" w14:textId="1FFE18DF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有關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月份的基金績效評比，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269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檔台股基金的平均報酬率為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6.96%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，有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155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(57.62%)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擊敗大盤。就三個月的報酬率，有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65.28%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的基金擊敗大盤；而今年至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的報酬率，有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36.4%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的基金擊敗大盤。就各子類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月份平均報酬率，依序為中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概股型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(10.04%)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、一般股票型與科技類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皆為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8.27%)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、中小型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(7.81%)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、價值型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(4.82%)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、上櫃股票型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(3.55%)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。就今年至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月底的報酬率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，依序為中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概股型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(7.6%)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、一般股票型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(2.84%)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、科技股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(2.77%)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、中小型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(1.71%)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、價值型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(-1.67)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、上櫃股票型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(-7.68%)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79CEE4" w14:textId="720CF31B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62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檔指數股票型之一般型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月份的平均報酬率為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4.75%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，低於上述台股基金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主動型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；今年至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1.57%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亦略低於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台股基金</w:t>
      </w:r>
      <w:r w:rsidRPr="00DB442C">
        <w:rPr>
          <w:rFonts w:ascii="Times New Roman" w:eastAsia="標楷體" w:hAnsi="Times New Roman" w:cs="Times New Roman"/>
          <w:sz w:val="28"/>
          <w:szCs w:val="28"/>
        </w:rPr>
        <w:t xml:space="preserve"> (1.97%)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。就一般型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細分的三類，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月平均報酬率依序市場指數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(6.75%)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、主題式</w:t>
      </w:r>
      <w:r w:rsidRPr="00DB442C">
        <w:rPr>
          <w:rFonts w:ascii="Times New Roman" w:eastAsia="標楷體" w:hAnsi="Times New Roman" w:cs="Times New Roman"/>
          <w:sz w:val="28"/>
          <w:szCs w:val="28"/>
        </w:rPr>
        <w:t>/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產業型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ETF(5.9%)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、高股息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ETF(2.28%)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。而今年至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的平均報酬率，依序也是為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lastRenderedPageBreak/>
        <w:t>市場指數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(3.41%)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、主題式</w:t>
      </w:r>
      <w:r w:rsidRPr="00DB442C">
        <w:rPr>
          <w:rFonts w:ascii="Times New Roman" w:eastAsia="標楷體" w:hAnsi="Times New Roman" w:cs="Times New Roman"/>
          <w:sz w:val="28"/>
          <w:szCs w:val="28"/>
        </w:rPr>
        <w:t>/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產業型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 (2.23%)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、高股息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ETF(0.12%)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F80554" w14:textId="469FF309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就指數股票型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-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非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4.01%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，低於一般型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；今年至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的平均報酬率亦然。另外，國內三檔主動型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於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月份績效為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8.19%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</w:t>
      </w:r>
      <w:bookmarkStart w:id="0" w:name="_Hlk205471571"/>
      <w:r w:rsidR="00AD653E" w:rsidRPr="00AD653E">
        <w:rPr>
          <w:rFonts w:ascii="Times New Roman" w:eastAsia="標楷體" w:hAnsi="Times New Roman" w:cs="Times New Roman" w:hint="eastAsia"/>
          <w:sz w:val="28"/>
          <w:szCs w:val="28"/>
        </w:rPr>
        <w:t>優於台灣加權指數報酬率</w:t>
      </w:r>
      <w:r w:rsidR="00AD653E" w:rsidRPr="00AD653E">
        <w:rPr>
          <w:rFonts w:ascii="Times New Roman" w:eastAsia="標楷體" w:hAnsi="Times New Roman" w:cs="Times New Roman" w:hint="eastAsia"/>
          <w:sz w:val="28"/>
          <w:szCs w:val="28"/>
        </w:rPr>
        <w:t>(5.78%)</w:t>
      </w:r>
      <w:r w:rsidR="00AD653E" w:rsidRPr="00AD653E">
        <w:rPr>
          <w:rFonts w:ascii="Times New Roman" w:eastAsia="標楷體" w:hAnsi="Times New Roman" w:cs="Times New Roman" w:hint="eastAsia"/>
          <w:sz w:val="28"/>
          <w:szCs w:val="28"/>
        </w:rPr>
        <w:t>與台股基金的平均報酬率</w:t>
      </w:r>
      <w:r w:rsidR="00AD653E" w:rsidRPr="00AD653E">
        <w:rPr>
          <w:rFonts w:ascii="Times New Roman" w:eastAsia="標楷體" w:hAnsi="Times New Roman" w:cs="Times New Roman" w:hint="eastAsia"/>
          <w:sz w:val="28"/>
          <w:szCs w:val="28"/>
        </w:rPr>
        <w:t>(6.96%)</w:t>
      </w:r>
      <w:r w:rsidRPr="00AD653E">
        <w:rPr>
          <w:rFonts w:ascii="Times New Roman" w:eastAsia="標楷體" w:hAnsi="Times New Roman" w:cs="Times New Roman"/>
          <w:sz w:val="28"/>
          <w:szCs w:val="28"/>
        </w:rPr>
        <w:t>。</w:t>
      </w:r>
      <w:bookmarkEnd w:id="0"/>
    </w:p>
    <w:p w14:paraId="27FD6AE1" w14:textId="61984040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862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檔跨國投資股票型基金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2.72%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，其中有</w:t>
      </w:r>
      <w:r w:rsidRPr="00DB442C">
        <w:rPr>
          <w:rFonts w:ascii="Times New Roman" w:eastAsia="標楷體" w:hAnsi="Times New Roman" w:cs="Times New Roman"/>
          <w:sz w:val="28"/>
          <w:szCs w:val="28"/>
        </w:rPr>
        <w:t>90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比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10.44%)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打敗大盤，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676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檔為正報酬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比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78.42%)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；今年至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的平均報酬率，有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44.65%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的基金打敗大盤。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就子類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而言，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月份全球一般股票型平均報酬率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全部幣別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2.19%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，以下稱全，台幣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1.65%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，以下稱台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、全球資源型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1.08%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1.23%)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、特別股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2.97%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2.86%)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。而區域型，歐洲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(-2.58%)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、亞洲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2.17%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2.19%)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、大中華區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4.93%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4.87%)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、新興市場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0.33%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-0.3%)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。而國家型，美國股票型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(2.45%)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、日本股票型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(-0.28%)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、中國大陸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股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4.47%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4.38%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、其他單一國家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-0.23%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-0.16%)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3C0351F" w14:textId="79316256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 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月份跨國投資之一般型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的平均報酬率，區域型為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2.74%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、美國為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4.18%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、日本為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1.72%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、中國大陸為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7.85%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、其他單一國家為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4.44%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、產業類為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5.1%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。另外，指數股票型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-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指數型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非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月份平均報酬率，區域型為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2.26%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、美國為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2.15%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、中國大陸為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3.2%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、其他單一國家為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-4.57%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。而跨國投資之主動式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月份的報酬率為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6.52%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1BA244A" w14:textId="44C2B20C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就海外債券型基金，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月份投資等級的平均報酬率分別為全球型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0.0</w:t>
      </w:r>
      <w:r w:rsidR="000624CE" w:rsidRPr="00555D1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-0.0</w:t>
      </w:r>
      <w:r w:rsidR="000624CE" w:rsidRPr="00555D1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B442C">
        <w:rPr>
          <w:rFonts w:ascii="Times New Roman" w:eastAsia="標楷體" w:hAnsi="Times New Roman" w:cs="Times New Roman"/>
          <w:sz w:val="28"/>
          <w:szCs w:val="28"/>
        </w:rPr>
        <w:t>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、短期型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0.55%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0.69%)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、全球新興市場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_0.81%)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、亞洲新興市場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0.05%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-0.04%)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</w:t>
      </w:r>
      <w:r w:rsidRPr="00DB442C">
        <w:rPr>
          <w:rFonts w:ascii="Times New Roman" w:eastAsia="標楷體" w:hAnsi="Times New Roman" w:cs="Times New Roman"/>
          <w:sz w:val="28"/>
          <w:szCs w:val="28"/>
        </w:rPr>
        <w:lastRenderedPageBreak/>
        <w:t>目標到期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0.42%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0.34%)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、其他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0.53%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0.94%)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、美國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(-0.1%)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、中國大陸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(0.25%)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月份非投資等級債券型基金平均報酬率，全球型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0.19%)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、新興市場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0.99%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0.78%)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、亞洲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0.82%)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、中國大陸</w:t>
      </w:r>
      <w:r w:rsidRPr="00DB442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1.17%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_0.97%)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再者，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</w:t>
      </w:r>
      <w:r w:rsidRPr="00DB442C">
        <w:rPr>
          <w:rFonts w:ascii="Times New Roman" w:eastAsia="標楷體" w:hAnsi="Times New Roman" w:cs="Times New Roman"/>
          <w:sz w:val="28"/>
          <w:szCs w:val="28"/>
        </w:rPr>
        <w:t>99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檔一般債劵型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2.04%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。另外，就今年至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的平均報酬率，投資等級之全球型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1.32%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-3.15%)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，非投資等級之全球型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1.49%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-2.52%)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，一般債劵型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ETF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-5.85%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。綜合而言，因今年以來台幣升值的緣故，以台幣計價的級別報酬率普遍較低。</w:t>
      </w:r>
    </w:p>
    <w:p w14:paraId="08A46BCD" w14:textId="58EDFD7B" w:rsidR="00DB442C" w:rsidRPr="00DB442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投資國內的平衡型基金，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6.05%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，就細分類一般股票型為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6.3</w:t>
      </w:r>
      <w:r w:rsidR="009D1121" w:rsidRPr="00555D1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B442C">
        <w:rPr>
          <w:rFonts w:ascii="Times New Roman" w:eastAsia="標楷體" w:hAnsi="Times New Roman" w:cs="Times New Roman"/>
          <w:sz w:val="28"/>
          <w:szCs w:val="28"/>
        </w:rPr>
        <w:t>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、價值型為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4.5%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。而跨國投資之全球型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，亞洲型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2.45%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2.24%)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，中國大陸型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_2.6%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2.29%)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，單一國家型為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-0.19%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，新興市場型為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2.21%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。就今年至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的平均報酬率，投資國內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(1.84%)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，跨國投資全球型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2.95%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-0.37%)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，亞洲型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6.24%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2.37%)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，中國型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_3.97%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-1.1%)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，其他單一國家型為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0.35%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，新興市場型為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13.13%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。另外，就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770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檔多重資產型，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月份全幣別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1.18%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1.17%;</w:t>
      </w:r>
      <w:r w:rsidRPr="00DB442C">
        <w:rPr>
          <w:rFonts w:ascii="Times New Roman" w:eastAsia="標楷體" w:hAnsi="Times New Roman" w:cs="Times New Roman"/>
          <w:sz w:val="28"/>
          <w:szCs w:val="28"/>
        </w:rPr>
        <w:t>今年至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月底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(YTD)</w:t>
      </w:r>
      <w:proofErr w:type="gramStart"/>
      <w:r w:rsidRPr="00DB442C">
        <w:rPr>
          <w:rFonts w:ascii="Times New Roman" w:eastAsia="標楷體" w:hAnsi="Times New Roman" w:cs="Times New Roman"/>
          <w:sz w:val="28"/>
          <w:szCs w:val="28"/>
        </w:rPr>
        <w:t>全幣別</w:t>
      </w:r>
      <w:proofErr w:type="gramEnd"/>
      <w:r w:rsidRPr="00DB442C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3.</w:t>
      </w:r>
      <w:r w:rsidR="009D1121" w:rsidRPr="00555D1C">
        <w:rPr>
          <w:rFonts w:ascii="Times New Roman" w:eastAsia="標楷體" w:hAnsi="Times New Roman" w:cs="Times New Roman" w:hint="eastAsia"/>
          <w:sz w:val="28"/>
          <w:szCs w:val="28"/>
        </w:rPr>
        <w:t>44</w:t>
      </w:r>
      <w:r w:rsidRPr="00DB442C">
        <w:rPr>
          <w:rFonts w:ascii="Times New Roman" w:eastAsia="標楷體" w:hAnsi="Times New Roman" w:cs="Times New Roman"/>
          <w:sz w:val="28"/>
          <w:szCs w:val="28"/>
        </w:rPr>
        <w:t>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-1.</w:t>
      </w:r>
      <w:r w:rsidR="009D1121" w:rsidRPr="00555D1C">
        <w:rPr>
          <w:rFonts w:ascii="Times New Roman" w:eastAsia="標楷體" w:hAnsi="Times New Roman" w:cs="Times New Roman" w:hint="eastAsia"/>
          <w:sz w:val="28"/>
          <w:szCs w:val="28"/>
        </w:rPr>
        <w:t>04</w:t>
      </w:r>
      <w:r w:rsidRPr="00DB442C">
        <w:rPr>
          <w:rFonts w:ascii="Times New Roman" w:eastAsia="標楷體" w:hAnsi="Times New Roman" w:cs="Times New Roman"/>
          <w:sz w:val="28"/>
          <w:szCs w:val="28"/>
        </w:rPr>
        <w:t>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50F1AC2" w14:textId="748D95A8" w:rsidR="00D24CEA" w:rsidRPr="00555D1C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442C">
        <w:rPr>
          <w:rFonts w:ascii="Times New Roman" w:eastAsia="標楷體" w:hAnsi="Times New Roman" w:cs="Times New Roman"/>
          <w:sz w:val="28"/>
          <w:szCs w:val="28"/>
        </w:rPr>
        <w:t>最後，跨國股票組合型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月份平均報酬率，一般股票型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1.42%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1.54%)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，新興市場型為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0.8%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。就國外債券組合型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月份平均報酬率，投資等級為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0.01%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，非投資等級為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0.54%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，複合式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0.38%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0.27%)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。就</w:t>
      </w:r>
      <w:r w:rsidRPr="00DB442C">
        <w:rPr>
          <w:rFonts w:ascii="Times New Roman" w:eastAsia="標楷體" w:hAnsi="Times New Roman" w:cs="Times New Roman"/>
          <w:sz w:val="28"/>
          <w:szCs w:val="28"/>
        </w:rPr>
        <w:t>7</w:t>
      </w:r>
      <w:r w:rsidRPr="00DB442C">
        <w:rPr>
          <w:rFonts w:ascii="Times New Roman" w:eastAsia="標楷體" w:hAnsi="Times New Roman" w:cs="Times New Roman"/>
          <w:sz w:val="28"/>
          <w:szCs w:val="28"/>
        </w:rPr>
        <w:t>月份跨國組合之平衡組合型報酬率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0.83%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0.81%)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，目標日期型為</w:t>
      </w:r>
      <w:r w:rsidRPr="00DB442C">
        <w:rPr>
          <w:rFonts w:ascii="Times New Roman" w:eastAsia="標楷體" w:hAnsi="Times New Roman" w:cs="Times New Roman"/>
          <w:sz w:val="28"/>
          <w:szCs w:val="28"/>
        </w:rPr>
        <w:t>1.16%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，其他組合型</w:t>
      </w:r>
      <w:r w:rsidRPr="00DB442C">
        <w:rPr>
          <w:rFonts w:ascii="Times New Roman" w:eastAsia="標楷體" w:hAnsi="Times New Roman" w:cs="Times New Roman"/>
          <w:sz w:val="28"/>
          <w:szCs w:val="28"/>
        </w:rPr>
        <w:t>(</w:t>
      </w:r>
      <w:r w:rsidRPr="00DB442C">
        <w:rPr>
          <w:rFonts w:ascii="Times New Roman" w:eastAsia="標楷體" w:hAnsi="Times New Roman" w:cs="Times New Roman"/>
          <w:sz w:val="28"/>
          <w:szCs w:val="28"/>
        </w:rPr>
        <w:t>全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1.48%</w:t>
      </w:r>
      <w:r w:rsidRPr="00DB442C">
        <w:rPr>
          <w:rFonts w:ascii="Times New Roman" w:eastAsia="標楷體" w:hAnsi="Times New Roman" w:cs="Times New Roman"/>
          <w:sz w:val="28"/>
          <w:szCs w:val="28"/>
        </w:rPr>
        <w:t>，台</w:t>
      </w:r>
      <w:r w:rsidRPr="00DB442C">
        <w:rPr>
          <w:rFonts w:ascii="Times New Roman" w:eastAsia="標楷體" w:hAnsi="Times New Roman" w:cs="Times New Roman"/>
          <w:sz w:val="28"/>
          <w:szCs w:val="28"/>
        </w:rPr>
        <w:t>_ 1.50%)</w:t>
      </w:r>
      <w:r w:rsidRPr="00DB442C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D24CEA" w:rsidRPr="00555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CB26" w14:textId="77777777" w:rsidR="000F4089" w:rsidRDefault="000F4089" w:rsidP="00C42CCD">
      <w:r>
        <w:separator/>
      </w:r>
    </w:p>
  </w:endnote>
  <w:endnote w:type="continuationSeparator" w:id="0">
    <w:p w14:paraId="79CB262A" w14:textId="77777777" w:rsidR="000F4089" w:rsidRDefault="000F4089" w:rsidP="00C4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61B6" w14:textId="77777777" w:rsidR="000F4089" w:rsidRDefault="000F4089" w:rsidP="00C42CCD">
      <w:r>
        <w:separator/>
      </w:r>
    </w:p>
  </w:footnote>
  <w:footnote w:type="continuationSeparator" w:id="0">
    <w:p w14:paraId="5EEC278A" w14:textId="77777777" w:rsidR="000F4089" w:rsidRDefault="000F4089" w:rsidP="00C4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62"/>
    <w:rsid w:val="00032109"/>
    <w:rsid w:val="000624CE"/>
    <w:rsid w:val="000F4089"/>
    <w:rsid w:val="00110737"/>
    <w:rsid w:val="001340BA"/>
    <w:rsid w:val="001A6910"/>
    <w:rsid w:val="0024669F"/>
    <w:rsid w:val="002B436B"/>
    <w:rsid w:val="00314C46"/>
    <w:rsid w:val="00330FBB"/>
    <w:rsid w:val="00333583"/>
    <w:rsid w:val="00356C8E"/>
    <w:rsid w:val="003A7462"/>
    <w:rsid w:val="003C19C2"/>
    <w:rsid w:val="004B1A60"/>
    <w:rsid w:val="004D3603"/>
    <w:rsid w:val="004E4A50"/>
    <w:rsid w:val="00554B13"/>
    <w:rsid w:val="00555D1C"/>
    <w:rsid w:val="005E61FB"/>
    <w:rsid w:val="005F3C82"/>
    <w:rsid w:val="00607BF4"/>
    <w:rsid w:val="00651599"/>
    <w:rsid w:val="00666647"/>
    <w:rsid w:val="00755B36"/>
    <w:rsid w:val="00812077"/>
    <w:rsid w:val="008233B2"/>
    <w:rsid w:val="008966CD"/>
    <w:rsid w:val="00910406"/>
    <w:rsid w:val="009D1121"/>
    <w:rsid w:val="00A454DC"/>
    <w:rsid w:val="00AC2BFA"/>
    <w:rsid w:val="00AD653E"/>
    <w:rsid w:val="00B32CFA"/>
    <w:rsid w:val="00B84A62"/>
    <w:rsid w:val="00B97055"/>
    <w:rsid w:val="00BA5E4A"/>
    <w:rsid w:val="00C42CCD"/>
    <w:rsid w:val="00C458B6"/>
    <w:rsid w:val="00C7594C"/>
    <w:rsid w:val="00D24CEA"/>
    <w:rsid w:val="00D31273"/>
    <w:rsid w:val="00DB442C"/>
    <w:rsid w:val="00DC54F8"/>
    <w:rsid w:val="00E253A0"/>
    <w:rsid w:val="00E45130"/>
    <w:rsid w:val="00E5728C"/>
    <w:rsid w:val="00F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E53F"/>
  <w15:chartTrackingRefBased/>
  <w15:docId w15:val="{DA772187-7E7F-44BC-BEB6-EFCDB79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C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2025-08-07T06:44:00Z</dcterms:created>
  <dcterms:modified xsi:type="dcterms:W3CDTF">2025-08-07T07:06:00Z</dcterms:modified>
</cp:coreProperties>
</file>